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FF8FFD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5CC89FC7" w:rsidR="00CC3B0A" w:rsidRPr="00224F8A" w:rsidRDefault="00CC3B0A" w:rsidP="003A2148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FF9D626" w14:textId="77777777" w:rsidR="001E1A7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49BF342" w14:textId="77777777" w:rsidR="001E1A7A" w:rsidRDefault="001E1A7A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7562D" w14:textId="6E9FD42F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5620C745" w14:textId="78BFA121" w:rsidR="00F56FF3" w:rsidRDefault="00AF72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1875D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A957482" w14:textId="6E0F1268" w:rsidR="001875D1" w:rsidRDefault="001875D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42229B" w14:textId="77777777" w:rsidR="001E1A7A" w:rsidRPr="008509DF" w:rsidRDefault="001E1A7A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6208A251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0047D878" w14:textId="77777777" w:rsidR="001E1A7A" w:rsidRPr="008509DF" w:rsidRDefault="001E1A7A" w:rsidP="001E1A7A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645BF6" w14:paraId="389E18F5" w14:textId="77777777" w:rsidTr="003A2148">
        <w:tc>
          <w:tcPr>
            <w:tcW w:w="9634" w:type="dxa"/>
          </w:tcPr>
          <w:p w14:paraId="5FE89F73" w14:textId="18450E00" w:rsidR="003A2148" w:rsidRDefault="00DE4A80" w:rsidP="003A2148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4A8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3A21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A2148" w:rsidRPr="003A21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участок общей площадью 24 000 </w:t>
            </w:r>
            <w:proofErr w:type="spellStart"/>
            <w:proofErr w:type="gramStart"/>
            <w:r w:rsidR="003A2148" w:rsidRPr="003A21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="003A2148" w:rsidRPr="003A21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расположенный по адресу: Московская обл., Домодедовский район, кадастровый номер 50:28:0010104:7,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под размещение производственно-складского комплекса.</w:t>
            </w:r>
          </w:p>
          <w:p w14:paraId="7222B59C" w14:textId="79AC7518" w:rsidR="00AF721D" w:rsidRPr="00645BF6" w:rsidRDefault="001417CE" w:rsidP="001417C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15F2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– «Земельный участок»)</w:t>
            </w:r>
          </w:p>
        </w:tc>
      </w:tr>
      <w:tr w:rsidR="00AF721D" w:rsidRPr="00645BF6" w14:paraId="6C644CC2" w14:textId="77777777" w:rsidTr="003A2148">
        <w:trPr>
          <w:trHeight w:val="224"/>
        </w:trPr>
        <w:tc>
          <w:tcPr>
            <w:tcW w:w="9634" w:type="dxa"/>
          </w:tcPr>
          <w:p w14:paraId="24304F70" w14:textId="7ACC7CE5" w:rsidR="00797DE8" w:rsidRPr="00645BF6" w:rsidRDefault="00797DE8" w:rsidP="003A2148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4D31A94D" w14:textId="2712E52C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p w14:paraId="20D087C6" w14:textId="08D56DA7" w:rsidR="00797DE8" w:rsidRDefault="00E06386" w:rsidP="00E06386">
      <w:pPr>
        <w:pStyle w:val="ConsNormal"/>
        <w:widowControl/>
        <w:numPr>
          <w:ilvl w:val="2"/>
          <w:numId w:val="2"/>
        </w:numPr>
        <w:tabs>
          <w:tab w:val="left" w:pos="851"/>
        </w:tabs>
        <w:ind w:left="0" w:right="0" w:firstLine="0"/>
        <w:jc w:val="both"/>
        <w:rPr>
          <w:rFonts w:ascii="Verdana" w:hAnsi="Verdana"/>
        </w:rPr>
      </w:pPr>
      <w:r w:rsidRPr="00E06386">
        <w:rPr>
          <w:rFonts w:ascii="Verdana" w:hAnsi="Verdana"/>
        </w:rPr>
        <w:t xml:space="preserve">Имеются </w:t>
      </w:r>
      <w:r>
        <w:rPr>
          <w:rFonts w:ascii="Verdana" w:hAnsi="Verdana"/>
        </w:rPr>
        <w:t xml:space="preserve">ограничения на земельный участок, а именно: </w:t>
      </w:r>
    </w:p>
    <w:p w14:paraId="7EDC5E88" w14:textId="77777777" w:rsidR="003A2148" w:rsidRDefault="003A2148" w:rsidP="003A214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tbl>
      <w:tblPr>
        <w:tblW w:w="9747" w:type="dxa"/>
        <w:tblInd w:w="-113" w:type="dxa"/>
        <w:tblLook w:val="04A0" w:firstRow="1" w:lastRow="0" w:firstColumn="1" w:lastColumn="0" w:noHBand="0" w:noVBand="1"/>
      </w:tblPr>
      <w:tblGrid>
        <w:gridCol w:w="1526"/>
        <w:gridCol w:w="1701"/>
        <w:gridCol w:w="6229"/>
        <w:gridCol w:w="291"/>
      </w:tblGrid>
      <w:tr w:rsidR="00797DE8" w:rsidRPr="00797DE8" w14:paraId="268B1F78" w14:textId="77777777" w:rsidTr="001E1A7A">
        <w:trPr>
          <w:gridAfter w:val="1"/>
          <w:wAfter w:w="291" w:type="dxa"/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89CC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Учетный номер части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1A7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Площадь (м2)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17F6" w14:textId="77777777" w:rsidR="00797DE8" w:rsidRPr="00797DE8" w:rsidRDefault="00797DE8" w:rsidP="00797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797DE8" w:rsidRPr="00797DE8" w14:paraId="7A866747" w14:textId="77777777" w:rsidTr="001E1A7A">
        <w:trPr>
          <w:gridAfter w:val="1"/>
          <w:wAfter w:w="291" w:type="dxa"/>
          <w:trHeight w:val="28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1609" w14:textId="77777777" w:rsidR="00797DE8" w:rsidRPr="00797DE8" w:rsidRDefault="00797DE8" w:rsidP="00187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3023" w14:textId="77777777" w:rsidR="00797DE8" w:rsidRPr="00797DE8" w:rsidRDefault="00797DE8" w:rsidP="00187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7287" w14:textId="77777777" w:rsidR="00797DE8" w:rsidRPr="00797DE8" w:rsidRDefault="00797DE8" w:rsidP="00187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DE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97DE8" w:rsidRPr="00797DE8" w14:paraId="58F6CE68" w14:textId="77777777" w:rsidTr="001E1A7A">
        <w:trPr>
          <w:gridAfter w:val="1"/>
          <w:wAfter w:w="291" w:type="dxa"/>
          <w:trHeight w:val="86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FE84" w14:textId="2557A7F6" w:rsidR="00797DE8" w:rsidRPr="00797DE8" w:rsidRDefault="001875D1" w:rsidP="0018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D1C4" w14:textId="6A162945" w:rsidR="00797DE8" w:rsidRPr="00797DE8" w:rsidRDefault="001875D1" w:rsidP="0018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15 175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0E70" w14:textId="219FFDEE" w:rsidR="00797DE8" w:rsidRPr="00797DE8" w:rsidRDefault="001875D1" w:rsidP="00187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кодекса Российской Федерации, Доверенность № 7793025 от 10.06.2015, срок действия: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03.02.2016</w:t>
            </w:r>
          </w:p>
        </w:tc>
      </w:tr>
      <w:tr w:rsidR="00797DE8" w:rsidRPr="00797DE8" w14:paraId="15213DF1" w14:textId="77777777" w:rsidTr="001E1A7A">
        <w:trPr>
          <w:gridAfter w:val="1"/>
          <w:wAfter w:w="291" w:type="dxa"/>
          <w:trHeight w:val="86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3F08" w14:textId="1DA49ED3" w:rsidR="00797DE8" w:rsidRPr="00797DE8" w:rsidRDefault="001875D1" w:rsidP="00187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C1D0" w14:textId="2D6BFCBE" w:rsidR="00797DE8" w:rsidRPr="00797DE8" w:rsidRDefault="001875D1" w:rsidP="00187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23 747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3355" w14:textId="7C468B13" w:rsidR="00797DE8" w:rsidRPr="00797DE8" w:rsidRDefault="001875D1" w:rsidP="00187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Огранич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ения прав на земельный участок, </w:t>
            </w: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предусмотренные статьями 56, 56.1 Земельного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кодекса Российской Федерации, Решение суда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№ А41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-39565/2019 от 18.07.2019, срок </w:t>
            </w:r>
            <w:r w:rsidRPr="001875D1">
              <w:rPr>
                <w:rFonts w:ascii="Calibri" w:eastAsia="Times New Roman" w:hAnsi="Calibri" w:cs="Calibri"/>
                <w:color w:val="000000"/>
                <w:lang w:eastAsia="ru-RU"/>
              </w:rPr>
              <w:t>действия: 12.04.2021</w:t>
            </w:r>
          </w:p>
        </w:tc>
      </w:tr>
      <w:tr w:rsidR="001E1A7A" w:rsidRPr="001E1A7A" w14:paraId="44090325" w14:textId="77777777" w:rsidTr="001E1A7A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747" w:type="dxa"/>
            <w:gridSpan w:val="4"/>
          </w:tcPr>
          <w:p w14:paraId="30E74DB1" w14:textId="01D9DCE3" w:rsidR="001E1A7A" w:rsidRDefault="001E1A7A" w:rsidP="001E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539F0A" w14:textId="0ACFF370" w:rsidR="001E1A7A" w:rsidRPr="001E1A7A" w:rsidRDefault="001E1A7A" w:rsidP="001E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Земельный участок расположен в ЗОУИТ (ЗОУИТ 50:28-6.96, ЗОУИТ 50:28-6.431</w:t>
            </w:r>
            <w:r w:rsidRPr="001E1A7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, ЗОУТ 50:28-6.97) и использование земельного участка (в том числе изменение видов разрешенного использования) и строительство на нем осуществляется с учетом ограничений использования земельного участка, установленных в границах зон с особыми условиями использования территории. </w:t>
            </w:r>
          </w:p>
        </w:tc>
      </w:tr>
    </w:tbl>
    <w:p w14:paraId="5290D4ED" w14:textId="6D02C81B" w:rsidR="00AF721D" w:rsidRDefault="00B5433E" w:rsidP="001E1A7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1875D1">
        <w:tc>
          <w:tcPr>
            <w:tcW w:w="9634" w:type="dxa"/>
          </w:tcPr>
          <w:p w14:paraId="7B632150" w14:textId="2AB0CA37" w:rsidR="00AF721D" w:rsidRDefault="00AF721D" w:rsidP="001E1A7A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 </w:t>
            </w:r>
            <w:r w:rsidR="006942CC" w:rsidRPr="001E1CE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 на основании</w:t>
            </w:r>
            <w:r w:rsidR="001E1CE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E1CE5" w:rsidRPr="001E1A7A">
              <w:rPr>
                <w:rFonts w:ascii="Verdana" w:hAnsi="Verdana"/>
                <w:sz w:val="20"/>
                <w:szCs w:val="20"/>
              </w:rPr>
              <w:t xml:space="preserve">государственной регистрации права Собственности, № </w:t>
            </w:r>
            <w:r w:rsidR="001E1A7A" w:rsidRPr="001E1A7A">
              <w:rPr>
                <w:rFonts w:ascii="Verdana" w:hAnsi="Verdana"/>
                <w:sz w:val="20"/>
                <w:szCs w:val="20"/>
              </w:rPr>
              <w:t>50:28:0010104:7-50/020/2019-5 от 31.05.2019 г.,</w:t>
            </w:r>
            <w:r w:rsidR="001E1A7A" w:rsidRPr="001E1A7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E1A7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</w:t>
            </w:r>
            <w:r w:rsidR="001E1CE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1E1A7A" w:rsidRPr="001E1A7A">
              <w:rPr>
                <w:rFonts w:ascii="Verdana" w:hAnsi="Verdana"/>
                <w:sz w:val="20"/>
                <w:szCs w:val="20"/>
              </w:rPr>
              <w:t>07.07.2021 № 99/2021/403231854.</w:t>
            </w:r>
          </w:p>
        </w:tc>
      </w:tr>
      <w:tr w:rsidR="00AF721D" w:rsidRPr="00224F8A" w14:paraId="067116AE" w14:textId="77777777" w:rsidTr="001875D1">
        <w:tc>
          <w:tcPr>
            <w:tcW w:w="9634" w:type="dxa"/>
          </w:tcPr>
          <w:p w14:paraId="57B99AB6" w14:textId="7B4612A5" w:rsidR="00AF721D" w:rsidRPr="00224F8A" w:rsidRDefault="00AF721D" w:rsidP="00D95E1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349C170" w:rsidR="00CF10DB" w:rsidRPr="008509DF" w:rsidRDefault="00CF10DB" w:rsidP="001875D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</w:t>
            </w:r>
            <w:r w:rsidRPr="00224F8A">
              <w:rPr>
                <w:rFonts w:ascii="Verdana" w:hAnsi="Verdana"/>
                <w:sz w:val="20"/>
                <w:szCs w:val="20"/>
              </w:rPr>
              <w:lastRenderedPageBreak/>
              <w:t xml:space="preserve">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7E86F59C" w14:textId="0BF439F6" w:rsidR="001E1A7A" w:rsidRDefault="001E1A7A" w:rsidP="001E1A7A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1E1A7A">
        <w:rPr>
          <w:rFonts w:ascii="Verdana" w:hAnsi="Verdana" w:cs="Times New Roman"/>
        </w:rPr>
        <w:lastRenderedPageBreak/>
        <w:t>Покупатель на дату подписания ДКП ознакомлен с объектом недвижимости и документацией на объект недвижимости, в том числе историей приобретения имущества. Объект недвижимости соответствует требованиям Покупателя, претензий к качеству недвижимого имущества, его состоянию и документационной укомплектованности Покупатель не имеет.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41EEEF2F" w:rsidR="00950FF3" w:rsidRPr="00FC2688" w:rsidRDefault="00950FF3" w:rsidP="00950FF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FC2688">
        <w:rPr>
          <w:rFonts w:ascii="Verdana" w:hAnsi="Verdana"/>
        </w:rPr>
        <w:t>–Стоимость земельного участка составляет ______________________ (__________________) рублей ___ копеек (</w:t>
      </w:r>
      <w:r w:rsidR="00FC2688">
        <w:rPr>
          <w:rFonts w:ascii="Verdana" w:hAnsi="Verdana"/>
        </w:rPr>
        <w:t>НДС не облагается на основании пп.6 пункт 2 ст. 146 Налогового кодекса РФ.</w:t>
      </w:r>
      <w:r w:rsidRPr="00FC2688">
        <w:rPr>
          <w:rFonts w:ascii="Verdana" w:hAnsi="Verdana"/>
        </w:rPr>
        <w:t>)</w:t>
      </w: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EE5C059" w:rsidR="00AB5223" w:rsidRPr="008509DF" w:rsidRDefault="00DE0E51" w:rsidP="00D729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0C3E3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4B393836" w:rsidR="001E5436" w:rsidRPr="00566401" w:rsidRDefault="00B71921" w:rsidP="000C3E3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8B166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8B166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0C3E3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bookmarkStart w:id="0" w:name="_GoBack"/>
            <w:bookmarkEnd w:id="0"/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 не облагается)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8C63A5" w:rsidRDefault="00891CDE" w:rsidP="00891CDE">
            <w:pPr>
              <w:jc w:val="right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891C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ООО «ЦНС»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 с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2E81CDA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8B1669">
              <w:rPr>
                <w:rFonts w:ascii="Verdana" w:hAnsi="Verdana"/>
                <w:i/>
                <w:sz w:val="20"/>
                <w:szCs w:val="20"/>
              </w:rPr>
              <w:t xml:space="preserve">5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8B1669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1D5B2FF7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8B1669">
              <w:rPr>
                <w:rFonts w:ascii="Verdana" w:hAnsi="Verdana"/>
              </w:rPr>
              <w:t xml:space="preserve"> </w:t>
            </w:r>
            <w:r w:rsidR="00CA1582">
              <w:rPr>
                <w:rFonts w:ascii="Verdana" w:hAnsi="Verdana"/>
              </w:rPr>
              <w:t>1 214 100 (</w:t>
            </w:r>
            <w:r w:rsidR="008B1669" w:rsidRPr="008B1669">
              <w:rPr>
                <w:rFonts w:ascii="Verdana" w:hAnsi="Verdana"/>
              </w:rPr>
              <w:t xml:space="preserve">один миллион </w:t>
            </w:r>
            <w:r w:rsidR="00CA1582">
              <w:rPr>
                <w:rFonts w:ascii="Verdana" w:hAnsi="Verdana"/>
              </w:rPr>
              <w:t>двести четырнадцать тысяч сто</w:t>
            </w:r>
            <w:r w:rsidR="008B1669" w:rsidRPr="008B1669">
              <w:rPr>
                <w:rFonts w:ascii="Verdana" w:hAnsi="Verdana"/>
              </w:rPr>
              <w:t xml:space="preserve">) рублей 00 копеек, </w:t>
            </w:r>
            <w:r w:rsidR="008B1669" w:rsidRPr="008B1669">
              <w:rPr>
                <w:rFonts w:ascii="Verdana" w:hAnsi="Verdana"/>
                <w:i/>
              </w:rPr>
              <w:t xml:space="preserve">(НДС не </w:t>
            </w:r>
            <w:r w:rsidR="008B1669" w:rsidRPr="008B1669">
              <w:rPr>
                <w:rFonts w:ascii="Verdana" w:hAnsi="Verdana"/>
                <w:i/>
              </w:rPr>
              <w:lastRenderedPageBreak/>
              <w:t>облагается в соответствии с действующим законодательством</w:t>
            </w:r>
            <w:r w:rsidR="00CA1582">
              <w:rPr>
                <w:rFonts w:ascii="Verdana" w:hAnsi="Verdana"/>
                <w:i/>
              </w:rPr>
              <w:t>)</w:t>
            </w:r>
            <w:r w:rsidRPr="008076AD">
              <w:rPr>
                <w:rFonts w:ascii="Verdana" w:hAnsi="Verdana"/>
              </w:rPr>
              <w:t xml:space="preserve"> 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B166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C128CE">
        <w:rPr>
          <w:rFonts w:ascii="Verdana" w:hAnsi="Verdana"/>
        </w:rPr>
        <w:t xml:space="preserve">не позднее </w:t>
      </w:r>
      <w:r w:rsidR="00B877FA" w:rsidRPr="00C128CE">
        <w:rPr>
          <w:rFonts w:ascii="Verdana" w:hAnsi="Verdana"/>
        </w:rPr>
        <w:t xml:space="preserve">5 </w:t>
      </w:r>
      <w:r w:rsidR="002C1077" w:rsidRPr="00C128CE">
        <w:rPr>
          <w:rFonts w:ascii="Verdana" w:hAnsi="Verdana"/>
        </w:rPr>
        <w:t>(</w:t>
      </w:r>
      <w:r w:rsidR="00B877FA" w:rsidRPr="00C128CE">
        <w:rPr>
          <w:rFonts w:ascii="Verdana" w:hAnsi="Verdana"/>
        </w:rPr>
        <w:t>пяти</w:t>
      </w:r>
      <w:r w:rsidR="002C1077" w:rsidRPr="00C128CE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128CE">
              <w:rPr>
                <w:rFonts w:ascii="Verdana" w:hAnsi="Verdana"/>
                <w:i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C128C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128CE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128CE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128CE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1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58407BE0" w:rsidR="00073672" w:rsidRPr="001C1460" w:rsidRDefault="00C128CE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29F9F7BE" w:rsidR="00566401" w:rsidRDefault="00C128CE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6553AF33" w:rsidR="004816A7" w:rsidRPr="008509DF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44E93B54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1582" w:rsidRPr="00FA08A4" w14:paraId="6D6E5823" w14:textId="77777777" w:rsidTr="00455819">
        <w:tc>
          <w:tcPr>
            <w:tcW w:w="4672" w:type="dxa"/>
          </w:tcPr>
          <w:p w14:paraId="448F2A02" w14:textId="25A33C46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08A4">
              <w:rPr>
                <w:rFonts w:ascii="Verdana" w:hAnsi="Verdana"/>
                <w:b/>
                <w:sz w:val="20"/>
                <w:szCs w:val="20"/>
              </w:rPr>
              <w:t>ПРОДАВЕЦ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34B6319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08A4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3E257DCA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Адрес: 109004, г.Москва, </w:t>
            </w:r>
            <w:r w:rsidRPr="00FA08A4">
              <w:rPr>
                <w:rFonts w:ascii="Verdana" w:hAnsi="Verdana"/>
                <w:sz w:val="20"/>
                <w:szCs w:val="20"/>
              </w:rPr>
              <w:t>Известковый пер., д. 3.</w:t>
            </w:r>
          </w:p>
          <w:p w14:paraId="3F5781B4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ИНН 7831001567</w:t>
            </w:r>
            <w:r>
              <w:rPr>
                <w:rFonts w:ascii="Verdana" w:hAnsi="Verdana"/>
                <w:sz w:val="20"/>
                <w:szCs w:val="20"/>
              </w:rPr>
              <w:t>, К</w:t>
            </w:r>
            <w:r w:rsidRPr="00FA08A4">
              <w:rPr>
                <w:rFonts w:ascii="Verdana" w:hAnsi="Verdana"/>
                <w:sz w:val="20"/>
                <w:szCs w:val="20"/>
              </w:rPr>
              <w:t>ПП 770901001</w:t>
            </w:r>
          </w:p>
          <w:p w14:paraId="1B17AFA2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6B99A23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95B2B13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49904334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</w:p>
          <w:p w14:paraId="3E6F10C9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45E3C244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4DA07CF9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0E7473B" w14:textId="7777777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A08A4">
              <w:rPr>
                <w:rFonts w:ascii="Verdana" w:hAnsi="Verdana"/>
                <w:sz w:val="20"/>
                <w:szCs w:val="20"/>
              </w:rPr>
              <w:t>к/с 30101810345250000635</w:t>
            </w:r>
          </w:p>
        </w:tc>
        <w:tc>
          <w:tcPr>
            <w:tcW w:w="4673" w:type="dxa"/>
          </w:tcPr>
          <w:p w14:paraId="63A4760D" w14:textId="3B97BC3B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08A4">
              <w:rPr>
                <w:rFonts w:ascii="Verdana" w:hAnsi="Verdana"/>
                <w:b/>
                <w:sz w:val="20"/>
                <w:szCs w:val="20"/>
              </w:rPr>
              <w:t>ПОКУПАТЕЛЬ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571F78E9" w14:textId="12F17E57" w:rsidR="00CA1582" w:rsidRPr="00FA08A4" w:rsidRDefault="00CA1582" w:rsidP="0045581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29DB08" w14:textId="7149889C" w:rsidR="001361F6" w:rsidRPr="001361F6" w:rsidRDefault="001361F6" w:rsidP="001361F6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A203E">
        <w:rPr>
          <w:rFonts w:ascii="Verdana" w:hAnsi="Verdana"/>
          <w:sz w:val="20"/>
          <w:szCs w:val="20"/>
        </w:rPr>
        <w:t>Счет</w:t>
      </w:r>
      <w:r>
        <w:rPr>
          <w:rFonts w:ascii="Verdana" w:hAnsi="Verdana"/>
          <w:sz w:val="20"/>
          <w:szCs w:val="20"/>
        </w:rPr>
        <w:t>:</w:t>
      </w:r>
      <w:r w:rsidRPr="00D86ACA">
        <w:t xml:space="preserve"> </w:t>
      </w:r>
    </w:p>
    <w:p w14:paraId="26C4C795" w14:textId="77777777" w:rsidR="001361F6" w:rsidRDefault="001361F6" w:rsidP="0013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66295467" w14:textId="77777777" w:rsidR="001361F6" w:rsidRPr="00FA08A4" w:rsidRDefault="001361F6" w:rsidP="001361F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FA08A4">
        <w:rPr>
          <w:rFonts w:ascii="Verdana" w:hAnsi="Verdana"/>
          <w:b/>
          <w:sz w:val="20"/>
          <w:szCs w:val="20"/>
        </w:rPr>
        <w:t xml:space="preserve">ОТ </w:t>
      </w:r>
      <w:proofErr w:type="gramStart"/>
      <w:r w:rsidRPr="00FA08A4">
        <w:rPr>
          <w:rFonts w:ascii="Verdana" w:hAnsi="Verdana"/>
          <w:b/>
          <w:sz w:val="20"/>
          <w:szCs w:val="20"/>
        </w:rPr>
        <w:t xml:space="preserve">ПРОДАВЦА:   </w:t>
      </w:r>
      <w:proofErr w:type="gramEnd"/>
      <w:r w:rsidRPr="00FA08A4">
        <w:rPr>
          <w:rFonts w:ascii="Verdana" w:hAnsi="Verdana"/>
          <w:b/>
          <w:sz w:val="20"/>
          <w:szCs w:val="20"/>
        </w:rPr>
        <w:t xml:space="preserve">                                                    ОТ ПОКУПАТЕЛЯ:</w:t>
      </w:r>
    </w:p>
    <w:p w14:paraId="5A97D2E0" w14:textId="77777777" w:rsidR="001361F6" w:rsidRDefault="001361F6" w:rsidP="001361F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D81C4F4" w14:textId="77777777" w:rsidR="001361F6" w:rsidRPr="00FA08A4" w:rsidRDefault="001361F6" w:rsidP="001361F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FA08A4">
        <w:rPr>
          <w:rFonts w:ascii="Verdana" w:hAnsi="Verdana"/>
          <w:b/>
          <w:sz w:val="20"/>
          <w:szCs w:val="20"/>
        </w:rPr>
        <w:t>_____________/Иванова</w:t>
      </w:r>
      <w:r>
        <w:rPr>
          <w:rFonts w:ascii="Verdana" w:hAnsi="Verdana"/>
          <w:b/>
          <w:sz w:val="20"/>
          <w:szCs w:val="20"/>
        </w:rPr>
        <w:t xml:space="preserve"> Н.А./                         </w:t>
      </w:r>
      <w:r w:rsidRPr="00FA08A4">
        <w:rPr>
          <w:rFonts w:ascii="Verdana" w:hAnsi="Verdana"/>
          <w:b/>
          <w:sz w:val="20"/>
          <w:szCs w:val="20"/>
        </w:rPr>
        <w:t>____________/</w:t>
      </w:r>
      <w:r>
        <w:rPr>
          <w:rFonts w:ascii="Verdana" w:hAnsi="Verdana"/>
          <w:b/>
          <w:sz w:val="20"/>
          <w:szCs w:val="20"/>
        </w:rPr>
        <w:t>Жук А.М.</w:t>
      </w:r>
      <w:r w:rsidRPr="00FA08A4">
        <w:rPr>
          <w:rFonts w:ascii="Verdana" w:hAnsi="Verdana"/>
          <w:b/>
          <w:sz w:val="20"/>
          <w:szCs w:val="20"/>
        </w:rPr>
        <w:t>/</w:t>
      </w:r>
    </w:p>
    <w:p w14:paraId="466D757E" w14:textId="77777777" w:rsidR="001361F6" w:rsidRPr="00FA08A4" w:rsidRDefault="001361F6" w:rsidP="001361F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0414D18" w14:textId="77777777" w:rsidR="001361F6" w:rsidRPr="008509DF" w:rsidRDefault="001361F6" w:rsidP="00136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4378842" w14:textId="77777777" w:rsidR="001361F6" w:rsidRDefault="001361F6" w:rsidP="001361F6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529F6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</w:t>
      </w:r>
      <w:r w:rsidRPr="00B529F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2022 г.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B529F6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</w:t>
      </w:r>
      <w:r w:rsidRPr="00B529F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2022 г.</w:t>
      </w:r>
    </w:p>
    <w:p w14:paraId="1286A564" w14:textId="31730D3E" w:rsidR="00686D08" w:rsidRDefault="001361F6" w:rsidP="001361F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529F6">
        <w:rPr>
          <w:rFonts w:ascii="Verdana" w:eastAsia="Times New Roman" w:hAnsi="Verdana" w:cs="Times New Roman"/>
          <w:sz w:val="20"/>
          <w:szCs w:val="20"/>
          <w:lang w:eastAsia="ru-RU"/>
        </w:rPr>
        <w:br w:type="page"/>
      </w: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20AF5A53" w:rsidR="00CC3B0A" w:rsidRPr="00CC3B0A" w:rsidRDefault="00CC3B0A" w:rsidP="00F83CF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636B746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C21DC76" w14:textId="44F9DA1C" w:rsidR="00AA7650" w:rsidRPr="00AA7650" w:rsidRDefault="00AA7650" w:rsidP="00AA7650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A21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Земельный участок общей площадью 24 000 </w:t>
      </w:r>
      <w:proofErr w:type="spellStart"/>
      <w:proofErr w:type="gramStart"/>
      <w:r w:rsidRPr="003A21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proofErr w:type="gramEnd"/>
      <w:r w:rsidRPr="003A21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расположенный по адресу: Московская обл., Домодедовский район, кадастровый номер 50:28:0010104:7,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под размещение произ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водственно-складского комплекса (далее – «Земельный участок»).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AA7650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AA7650">
        <w:tc>
          <w:tcPr>
            <w:tcW w:w="9345" w:type="dxa"/>
          </w:tcPr>
          <w:p w14:paraId="475DE61C" w14:textId="22E0548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AA7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2BAF0" w14:textId="0870A6A1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52DF3" w14:textId="4AA857BE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3B028B" w14:textId="77777777" w:rsidR="00DE4A80" w:rsidRDefault="00DE4A80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317340AB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849B9E" w14:textId="5DD09606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184CDB" w14:textId="40F6F77B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8109D1" w14:textId="364D9225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EC6EAE" w14:textId="18EC9A79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EEC722" w14:textId="093CE37E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EFFE16" w14:textId="2C3214B8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51A96B" w14:textId="5FE19056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6B1DCA" w14:textId="397EDDB8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0CB682" w14:textId="77E446AD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7841CD" w14:textId="76E5E322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47751A" w14:textId="77777777" w:rsidR="00CA1582" w:rsidRDefault="00CA158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245404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3F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6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7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10E6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3E3F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61F6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75D1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A7A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2148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1669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50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28CE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1582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3CF1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50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3D5D-8347-4EA5-9E2D-ADD4454C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4910</Words>
  <Characters>27991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Шульга Алёна Владимировна</cp:lastModifiedBy>
  <cp:revision>18</cp:revision>
  <cp:lastPrinted>2021-06-24T12:42:00Z</cp:lastPrinted>
  <dcterms:created xsi:type="dcterms:W3CDTF">2021-03-25T06:03:00Z</dcterms:created>
  <dcterms:modified xsi:type="dcterms:W3CDTF">2022-02-10T14:56:00Z</dcterms:modified>
</cp:coreProperties>
</file>