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D6649F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="005B4353">
        <w:rPr>
          <w:rFonts w:ascii="Times New Roman" w:hAnsi="Times New Roman"/>
          <w:sz w:val="28"/>
          <w:szCs w:val="24"/>
        </w:rPr>
        <w:t xml:space="preserve">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</w:t>
      </w:r>
      <w:r w:rsidR="00143775">
        <w:rPr>
          <w:rFonts w:ascii="Times New Roman" w:hAnsi="Times New Roman"/>
          <w:sz w:val="24"/>
          <w:szCs w:val="24"/>
        </w:rPr>
        <w:t xml:space="preserve"> </w:t>
      </w:r>
      <w:r w:rsidR="0078225F">
        <w:rPr>
          <w:rFonts w:ascii="Times New Roman" w:hAnsi="Times New Roman"/>
          <w:sz w:val="24"/>
          <w:szCs w:val="24"/>
        </w:rPr>
        <w:t>Г</w:t>
      </w:r>
      <w:r w:rsidRPr="005B4353">
        <w:rPr>
          <w:rFonts w:ascii="Times New Roman" w:hAnsi="Times New Roman"/>
          <w:sz w:val="24"/>
          <w:szCs w:val="24"/>
        </w:rPr>
        <w:t>енеральн</w:t>
      </w:r>
      <w:r w:rsidR="0078225F">
        <w:rPr>
          <w:rFonts w:ascii="Times New Roman" w:hAnsi="Times New Roman"/>
          <w:sz w:val="24"/>
          <w:szCs w:val="24"/>
        </w:rPr>
        <w:t>ый</w:t>
      </w:r>
      <w:r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</w:t>
      </w:r>
      <w:r w:rsidR="0078225F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0B76E3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A54E53">
        <w:rPr>
          <w:rFonts w:ascii="Times New Roman" w:hAnsi="Times New Roman"/>
          <w:sz w:val="24"/>
          <w:szCs w:val="24"/>
        </w:rPr>
        <w:t xml:space="preserve"> </w:t>
      </w:r>
      <w:r w:rsidR="00276B71">
        <w:rPr>
          <w:rFonts w:ascii="Times New Roman" w:hAnsi="Times New Roman"/>
          <w:sz w:val="24"/>
          <w:szCs w:val="24"/>
        </w:rPr>
        <w:t>07.04</w:t>
      </w:r>
      <w:r w:rsidR="00EE2398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3C45A2">
        <w:rPr>
          <w:rFonts w:ascii="Times New Roman" w:hAnsi="Times New Roman"/>
          <w:sz w:val="24"/>
          <w:szCs w:val="24"/>
        </w:rPr>
        <w:t xml:space="preserve">01.03.2022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4D6086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3C0029">
        <w:rPr>
          <w:rFonts w:ascii="Times New Roman" w:hAnsi="Times New Roman"/>
          <w:sz w:val="24"/>
          <w:szCs w:val="24"/>
        </w:rPr>
        <w:t xml:space="preserve"> 04.04.2022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3C0029">
        <w:rPr>
          <w:rFonts w:ascii="Times New Roman" w:hAnsi="Times New Roman"/>
          <w:sz w:val="24"/>
          <w:szCs w:val="24"/>
        </w:rPr>
        <w:t>04.04.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Оператор: электронная торговая площадка </w:t>
      </w:r>
      <w:proofErr w:type="spellStart"/>
      <w:r w:rsidRPr="005F481D">
        <w:rPr>
          <w:rFonts w:ascii="Times New Roman" w:hAnsi="Times New Roman"/>
          <w:sz w:val="24"/>
          <w:szCs w:val="24"/>
        </w:rPr>
        <w:t>lot-online.ru</w:t>
      </w:r>
      <w:proofErr w:type="spellEnd"/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Место проведения: электронная торговая площадка </w:t>
      </w:r>
      <w:proofErr w:type="spellStart"/>
      <w:r w:rsidRPr="005F481D">
        <w:rPr>
          <w:rFonts w:ascii="Times New Roman" w:hAnsi="Times New Roman"/>
          <w:sz w:val="24"/>
          <w:szCs w:val="24"/>
        </w:rPr>
        <w:t>lot-online.ru</w:t>
      </w:r>
      <w:proofErr w:type="spellEnd"/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службы технической поддержки </w:t>
      </w:r>
      <w:proofErr w:type="spellStart"/>
      <w:r w:rsidRPr="005F481D">
        <w:rPr>
          <w:rFonts w:ascii="Times New Roman" w:hAnsi="Times New Roman"/>
          <w:sz w:val="24"/>
          <w:szCs w:val="24"/>
        </w:rPr>
        <w:t>lot-online.ru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: 8-800-777-57-57, </w:t>
      </w:r>
      <w:proofErr w:type="spellStart"/>
      <w:r w:rsidRPr="005F481D">
        <w:rPr>
          <w:rFonts w:ascii="Times New Roman" w:hAnsi="Times New Roman"/>
          <w:sz w:val="24"/>
          <w:szCs w:val="24"/>
        </w:rPr>
        <w:t>доб</w:t>
      </w:r>
      <w:proofErr w:type="spellEnd"/>
      <w:r w:rsidRPr="005F481D">
        <w:rPr>
          <w:rFonts w:ascii="Times New Roman" w:hAnsi="Times New Roman"/>
          <w:sz w:val="24"/>
          <w:szCs w:val="24"/>
        </w:rPr>
        <w:t>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04.04.2022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04.04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05.04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06.04.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07.</w:t>
      </w:r>
      <w:r w:rsidR="00CB27C0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</w:t>
      </w:r>
      <w:proofErr w:type="spell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38327A" w:rsidRPr="00DF1385" w:rsidRDefault="0038327A" w:rsidP="0038327A">
      <w:pPr>
        <w:autoSpaceDE w:val="0"/>
        <w:autoSpaceDN w:val="0"/>
        <w:spacing w:after="0" w:line="240" w:lineRule="auto"/>
        <w:ind w:firstLine="567"/>
        <w:outlineLvl w:val="0"/>
        <w:rPr>
          <w:rStyle w:val="1"/>
          <w:rFonts w:ascii="Times New Roman" w:hAnsi="Times New Roman"/>
          <w:sz w:val="24"/>
          <w:szCs w:val="24"/>
        </w:rPr>
      </w:pPr>
      <w:bookmarkStart w:id="7" w:name="_Hlk14104070"/>
      <w:bookmarkEnd w:id="1"/>
      <w:bookmarkEnd w:id="2"/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Тюменская область, </w:t>
      </w:r>
      <w:r w:rsidR="00DF1385">
        <w:rPr>
          <w:rStyle w:val="1"/>
          <w:rFonts w:ascii="Times New Roman" w:hAnsi="Times New Roman"/>
          <w:sz w:val="24"/>
          <w:szCs w:val="24"/>
        </w:rPr>
        <w:t>г</w:t>
      </w:r>
      <w:proofErr w:type="gramStart"/>
      <w:r w:rsidR="00DF1385">
        <w:rPr>
          <w:rStyle w:val="1"/>
          <w:rFonts w:ascii="Times New Roman" w:hAnsi="Times New Roman"/>
          <w:sz w:val="24"/>
          <w:szCs w:val="24"/>
        </w:rPr>
        <w:t>.Я</w:t>
      </w:r>
      <w:proofErr w:type="gramEnd"/>
      <w:r w:rsidR="00DF1385">
        <w:rPr>
          <w:rStyle w:val="1"/>
          <w:rFonts w:ascii="Times New Roman" w:hAnsi="Times New Roman"/>
          <w:sz w:val="24"/>
          <w:szCs w:val="24"/>
        </w:rPr>
        <w:t>луторовск, ул.Якушкина, д.15</w:t>
      </w:r>
      <w:r w:rsidR="00DF1385" w:rsidRPr="00DF1385">
        <w:rPr>
          <w:rStyle w:val="1"/>
          <w:rFonts w:ascii="Times New Roman" w:hAnsi="Times New Roman"/>
          <w:sz w:val="24"/>
          <w:szCs w:val="24"/>
        </w:rPr>
        <w:t>/</w:t>
      </w:r>
      <w:r w:rsidR="00DF1385">
        <w:rPr>
          <w:rStyle w:val="1"/>
          <w:rFonts w:ascii="Times New Roman" w:hAnsi="Times New Roman"/>
          <w:sz w:val="24"/>
          <w:szCs w:val="24"/>
        </w:rPr>
        <w:t>1</w:t>
      </w:r>
    </w:p>
    <w:p w:rsidR="0038327A" w:rsidRPr="00727AE5" w:rsidRDefault="0038327A" w:rsidP="0038327A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 w:rsidR="00DF1385">
        <w:rPr>
          <w:rStyle w:val="1"/>
          <w:rFonts w:ascii="Times New Roman" w:hAnsi="Times New Roman"/>
          <w:sz w:val="24"/>
          <w:szCs w:val="24"/>
        </w:rPr>
        <w:t>нежилое помещение, назначение: нежилое, площадь 54,60 кв.м</w:t>
      </w:r>
      <w:r w:rsidR="002A2939">
        <w:rPr>
          <w:rStyle w:val="1"/>
          <w:rFonts w:ascii="Times New Roman" w:hAnsi="Times New Roman"/>
          <w:sz w:val="24"/>
          <w:szCs w:val="24"/>
        </w:rPr>
        <w:t>.</w:t>
      </w:r>
    </w:p>
    <w:p w:rsidR="0038327A" w:rsidRPr="00727AE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DF1385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на 54,60 кв.м.</w:t>
      </w:r>
    </w:p>
    <w:p w:rsidR="0038327A" w:rsidRPr="00727AE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</w:t>
      </w:r>
      <w:r w:rsidR="00DF1385">
        <w:rPr>
          <w:rFonts w:ascii="Times New Roman" w:eastAsia="Times New Roman" w:hAnsi="Times New Roman"/>
          <w:bCs/>
          <w:sz w:val="24"/>
          <w:szCs w:val="24"/>
          <w:lang w:eastAsia="ru-RU"/>
        </w:rPr>
        <w:t>: 1 068 190 рублей</w:t>
      </w:r>
      <w:r w:rsidR="000E7C78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8327A" w:rsidRPr="00727AE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F1385">
        <w:rPr>
          <w:rFonts w:ascii="Times New Roman" w:eastAsia="Times New Roman" w:hAnsi="Times New Roman"/>
          <w:bCs/>
          <w:sz w:val="24"/>
          <w:szCs w:val="24"/>
          <w:lang w:eastAsia="ru-RU"/>
        </w:rPr>
        <w:t>213 638 рублей</w:t>
      </w:r>
      <w:r w:rsidR="000E7C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</w:p>
    <w:p w:rsidR="0038327A" w:rsidRPr="00727AE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E7C78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="00766BE2">
        <w:rPr>
          <w:rFonts w:ascii="Times New Roman" w:eastAsia="Times New Roman" w:hAnsi="Times New Roman"/>
          <w:sz w:val="24"/>
          <w:szCs w:val="24"/>
          <w:lang w:eastAsia="ru-RU"/>
        </w:rPr>
        <w:t>681</w:t>
      </w:r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BE2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>. 90 копеек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DF2BB9" w:rsidRDefault="00DF2BB9" w:rsidP="00DF2BB9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Тюменская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Б.Сорокино,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енина, 68, стр.1</w:t>
      </w:r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47E6C" w:rsidRPr="00E47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proofErr w:type="spellStart"/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Б.Сорокино, ул.Ленина.</w:t>
      </w:r>
    </w:p>
    <w:p w:rsidR="009C0506" w:rsidRDefault="00DF2BB9" w:rsidP="00DF2BB9">
      <w:pPr>
        <w:spacing w:after="0"/>
        <w:ind w:firstLine="567"/>
        <w:jc w:val="both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гараж, назначение: нежилое, </w:t>
      </w:r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>общая площадь 101,62 кв</w:t>
      </w:r>
      <w:proofErr w:type="gramStart"/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>, этаж 1, с земел</w:t>
      </w:r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47E6C"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 w:rsidR="00E47E6C"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</w:t>
      </w:r>
      <w:r w:rsidR="00E47E6C">
        <w:rPr>
          <w:rStyle w:val="1"/>
          <w:rFonts w:ascii="Times New Roman" w:hAnsi="Times New Roman"/>
          <w:sz w:val="24"/>
          <w:szCs w:val="24"/>
        </w:rPr>
        <w:t xml:space="preserve"> обслуживание авт</w:t>
      </w:r>
      <w:r w:rsidR="00E47E6C">
        <w:rPr>
          <w:rStyle w:val="1"/>
          <w:rFonts w:ascii="Times New Roman" w:hAnsi="Times New Roman"/>
          <w:sz w:val="24"/>
          <w:szCs w:val="24"/>
        </w:rPr>
        <w:t>о</w:t>
      </w:r>
      <w:r w:rsidR="00E47E6C"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E47E6C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A75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229 240 </w:t>
      </w:r>
      <w:r w:rsidR="006A75E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 w:rsidR="006A75EE"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="001B0ACC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гаража </w:t>
      </w:r>
      <w:r w:rsidR="006A75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57 720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</w:t>
      </w:r>
      <w:r w:rsidR="006A75EE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6A75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171 520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7547D">
        <w:rPr>
          <w:rFonts w:ascii="Times New Roman" w:eastAsia="Times New Roman" w:hAnsi="Times New Roman"/>
          <w:bCs/>
          <w:sz w:val="24"/>
          <w:szCs w:val="24"/>
          <w:lang w:eastAsia="ru-RU"/>
        </w:rPr>
        <w:t>45 848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7547D">
        <w:rPr>
          <w:rFonts w:ascii="Times New Roman" w:eastAsia="Times New Roman" w:hAnsi="Times New Roman"/>
          <w:bCs/>
          <w:sz w:val="24"/>
          <w:szCs w:val="24"/>
          <w:lang w:eastAsia="ru-RU"/>
        </w:rPr>
        <w:t>2 292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47547D">
        <w:rPr>
          <w:rFonts w:ascii="Times New Roman" w:eastAsia="Times New Roman" w:hAnsi="Times New Roman"/>
          <w:bCs/>
          <w:sz w:val="24"/>
          <w:szCs w:val="24"/>
          <w:lang w:eastAsia="ru-RU"/>
        </w:rPr>
        <w:t>40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B6AD3" w:rsidRDefault="003B6AD3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="00690F31">
        <w:rPr>
          <w:rFonts w:ascii="Times New Roman" w:eastAsia="Times New Roman" w:hAnsi="Times New Roman"/>
          <w:sz w:val="24"/>
          <w:szCs w:val="24"/>
          <w:lang w:eastAsia="ru-RU"/>
        </w:rPr>
        <w:t xml:space="preserve"> Тюменская область, </w:t>
      </w:r>
      <w:proofErr w:type="spellStart"/>
      <w:r w:rsidR="00690F31">
        <w:rPr>
          <w:rFonts w:ascii="Times New Roman" w:eastAsia="Times New Roman" w:hAnsi="Times New Roman"/>
          <w:sz w:val="24"/>
          <w:szCs w:val="24"/>
          <w:lang w:eastAsia="ru-RU"/>
        </w:rPr>
        <w:t>Аромашевский</w:t>
      </w:r>
      <w:proofErr w:type="spellEnd"/>
      <w:r w:rsidR="00690F3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</w:t>
      </w:r>
      <w:proofErr w:type="gramStart"/>
      <w:r w:rsidR="00690F31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="00690F31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ромашево, ул.Ленина, 141, строение 2; Тюменская область, </w:t>
      </w:r>
      <w:proofErr w:type="spellStart"/>
      <w:r w:rsidR="00690F31">
        <w:rPr>
          <w:rFonts w:ascii="Times New Roman" w:eastAsia="Times New Roman" w:hAnsi="Times New Roman"/>
          <w:sz w:val="24"/>
          <w:szCs w:val="24"/>
          <w:lang w:eastAsia="ru-RU"/>
        </w:rPr>
        <w:t>Аромашевский</w:t>
      </w:r>
      <w:proofErr w:type="spellEnd"/>
      <w:r w:rsidR="00690F3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с.Аромашево, ул.Ленина</w:t>
      </w:r>
    </w:p>
    <w:p w:rsidR="003B6AD3" w:rsidRPr="00954EAB" w:rsidRDefault="003B6AD3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</w:t>
      </w:r>
      <w:r w:rsidR="00690F31">
        <w:rPr>
          <w:rStyle w:val="1"/>
          <w:rFonts w:ascii="Times New Roman" w:hAnsi="Times New Roman"/>
          <w:sz w:val="24"/>
          <w:szCs w:val="24"/>
        </w:rPr>
        <w:t xml:space="preserve"> нежилое строение (гараж)</w:t>
      </w:r>
      <w:r w:rsidR="00747E10">
        <w:rPr>
          <w:rStyle w:val="1"/>
          <w:rFonts w:ascii="Times New Roman" w:hAnsi="Times New Roman"/>
          <w:sz w:val="24"/>
          <w:szCs w:val="24"/>
        </w:rPr>
        <w:t>, назначение: нежилое, жилищно-бытового (всп</w:t>
      </w:r>
      <w:r w:rsidR="00747E10">
        <w:rPr>
          <w:rStyle w:val="1"/>
          <w:rFonts w:ascii="Times New Roman" w:hAnsi="Times New Roman"/>
          <w:sz w:val="24"/>
          <w:szCs w:val="24"/>
        </w:rPr>
        <w:t>о</w:t>
      </w:r>
      <w:r w:rsidR="00747E10">
        <w:rPr>
          <w:rStyle w:val="1"/>
          <w:rFonts w:ascii="Times New Roman" w:hAnsi="Times New Roman"/>
          <w:sz w:val="24"/>
          <w:szCs w:val="24"/>
        </w:rPr>
        <w:t>могательного) назначения, 1-этажный, общая площадь 98,5 кв.м, лит</w:t>
      </w:r>
      <w:proofErr w:type="gramStart"/>
      <w:r w:rsidR="00747E10">
        <w:rPr>
          <w:rStyle w:val="1"/>
          <w:rFonts w:ascii="Times New Roman" w:hAnsi="Times New Roman"/>
          <w:sz w:val="24"/>
          <w:szCs w:val="24"/>
        </w:rPr>
        <w:t>.Г</w:t>
      </w:r>
      <w:proofErr w:type="gramEnd"/>
      <w:r w:rsidR="00747E10">
        <w:rPr>
          <w:rStyle w:val="1"/>
          <w:rFonts w:ascii="Times New Roman" w:hAnsi="Times New Roman"/>
          <w:sz w:val="24"/>
          <w:szCs w:val="24"/>
        </w:rPr>
        <w:t xml:space="preserve"> с земельным уч</w:t>
      </w:r>
      <w:r w:rsidR="00747E10">
        <w:rPr>
          <w:rStyle w:val="1"/>
          <w:rFonts w:ascii="Times New Roman" w:hAnsi="Times New Roman"/>
          <w:sz w:val="24"/>
          <w:szCs w:val="24"/>
        </w:rPr>
        <w:t>а</w:t>
      </w:r>
      <w:r w:rsidR="00747E10">
        <w:rPr>
          <w:rStyle w:val="1"/>
          <w:rFonts w:ascii="Times New Roman" w:hAnsi="Times New Roman"/>
          <w:sz w:val="24"/>
          <w:szCs w:val="24"/>
        </w:rPr>
        <w:t xml:space="preserve">стком площадью </w:t>
      </w:r>
      <w:r w:rsidR="00954EAB">
        <w:rPr>
          <w:rStyle w:val="1"/>
          <w:rFonts w:ascii="Times New Roman" w:hAnsi="Times New Roman"/>
          <w:sz w:val="24"/>
          <w:szCs w:val="24"/>
        </w:rPr>
        <w:t>3</w:t>
      </w:r>
      <w:r w:rsidR="0088729E">
        <w:rPr>
          <w:rStyle w:val="1"/>
          <w:rFonts w:ascii="Times New Roman" w:hAnsi="Times New Roman"/>
          <w:sz w:val="24"/>
          <w:szCs w:val="24"/>
        </w:rPr>
        <w:t>74</w:t>
      </w:r>
      <w:r w:rsidR="00954EAB">
        <w:rPr>
          <w:rStyle w:val="1"/>
          <w:rFonts w:ascii="Times New Roman" w:hAnsi="Times New Roman"/>
          <w:sz w:val="24"/>
          <w:szCs w:val="24"/>
        </w:rPr>
        <w:t>+/-7 кв.м, кадастровый номер 72:03:0101001:3236</w:t>
      </w:r>
      <w:r w:rsidR="00954EAB" w:rsidRPr="00954EAB">
        <w:rPr>
          <w:rStyle w:val="1"/>
          <w:rFonts w:ascii="Times New Roman" w:hAnsi="Times New Roman"/>
          <w:sz w:val="24"/>
          <w:szCs w:val="24"/>
        </w:rPr>
        <w:t xml:space="preserve"> </w:t>
      </w:r>
      <w:r w:rsidR="00954EAB"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</w:t>
      </w:r>
      <w:r w:rsidR="00954EAB">
        <w:rPr>
          <w:rStyle w:val="1"/>
          <w:rFonts w:ascii="Times New Roman" w:hAnsi="Times New Roman"/>
          <w:sz w:val="24"/>
          <w:szCs w:val="24"/>
        </w:rPr>
        <w:t xml:space="preserve"> для эксплуатации здания аптеки и прилегающей территории.</w:t>
      </w:r>
    </w:p>
    <w:p w:rsidR="00E47E6C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E07B1">
        <w:rPr>
          <w:rFonts w:ascii="Times New Roman" w:eastAsia="Times New Roman" w:hAnsi="Times New Roman"/>
          <w:sz w:val="24"/>
          <w:szCs w:val="24"/>
          <w:lang w:eastAsia="ru-RU"/>
        </w:rPr>
        <w:t>237 366 рублей 00 копеек</w:t>
      </w:r>
      <w:r w:rsidR="001B0ACC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гаража </w:t>
      </w:r>
      <w:r w:rsidR="001E07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56 350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1E07B1">
        <w:rPr>
          <w:rFonts w:ascii="Times New Roman" w:eastAsia="Times New Roman" w:hAnsi="Times New Roman"/>
          <w:bCs/>
          <w:sz w:val="24"/>
          <w:szCs w:val="24"/>
          <w:lang w:eastAsia="ru-RU"/>
        </w:rPr>
        <w:t>181 016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165D3">
        <w:rPr>
          <w:rFonts w:ascii="Times New Roman" w:eastAsia="Times New Roman" w:hAnsi="Times New Roman"/>
          <w:bCs/>
          <w:sz w:val="24"/>
          <w:szCs w:val="24"/>
          <w:lang w:eastAsia="ru-RU"/>
        </w:rPr>
        <w:t>47 473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 w:rsidR="00C165D3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47E6C" w:rsidRPr="005F481D" w:rsidRDefault="00E47E6C" w:rsidP="00E47E6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165D3">
        <w:rPr>
          <w:rFonts w:ascii="Times New Roman" w:eastAsia="Times New Roman" w:hAnsi="Times New Roman"/>
          <w:bCs/>
          <w:sz w:val="24"/>
          <w:szCs w:val="24"/>
          <w:lang w:eastAsia="ru-RU"/>
        </w:rPr>
        <w:t>2 373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C165D3">
        <w:rPr>
          <w:rFonts w:ascii="Times New Roman" w:eastAsia="Times New Roman" w:hAnsi="Times New Roman"/>
          <w:bCs/>
          <w:sz w:val="24"/>
          <w:szCs w:val="24"/>
          <w:lang w:eastAsia="ru-RU"/>
        </w:rPr>
        <w:t>66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Тюменская область, </w:t>
      </w:r>
      <w:proofErr w:type="spellStart"/>
      <w:r w:rsidRPr="00DD2DC1">
        <w:rPr>
          <w:rStyle w:val="1"/>
          <w:rFonts w:ascii="Times New Roman" w:hAnsi="Times New Roman"/>
          <w:sz w:val="24"/>
          <w:szCs w:val="24"/>
        </w:rPr>
        <w:t>Викуловский</w:t>
      </w:r>
      <w:proofErr w:type="spellEnd"/>
      <w:r w:rsidRPr="00DD2DC1">
        <w:rPr>
          <w:rStyle w:val="1"/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DD2DC1">
        <w:rPr>
          <w:rStyle w:val="1"/>
          <w:rFonts w:ascii="Times New Roman" w:hAnsi="Times New Roman"/>
          <w:sz w:val="24"/>
          <w:szCs w:val="24"/>
        </w:rPr>
        <w:t>Коточиги</w:t>
      </w:r>
      <w:proofErr w:type="spellEnd"/>
      <w:r w:rsidRPr="00DD2DC1">
        <w:rPr>
          <w:rStyle w:val="1"/>
          <w:rFonts w:ascii="Times New Roman" w:hAnsi="Times New Roman"/>
          <w:sz w:val="24"/>
          <w:szCs w:val="24"/>
        </w:rPr>
        <w:t>, ул. 8 Марта, д. 10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 w:rsidR="00747E10">
        <w:rPr>
          <w:rStyle w:val="1"/>
          <w:rFonts w:ascii="Times New Roman" w:hAnsi="Times New Roman"/>
          <w:sz w:val="24"/>
          <w:szCs w:val="24"/>
        </w:rPr>
        <w:t>Отдельно стоящее, о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дноэтажное, кирпичное, нежилое здание с подвалом, аптека, литера А-А1, </w:t>
      </w:r>
      <w:r w:rsidR="00747E10">
        <w:rPr>
          <w:rStyle w:val="1"/>
          <w:rFonts w:ascii="Times New Roman" w:hAnsi="Times New Roman"/>
          <w:sz w:val="24"/>
          <w:szCs w:val="24"/>
        </w:rPr>
        <w:t xml:space="preserve">площадь </w:t>
      </w:r>
      <w:r w:rsidR="00747E10">
        <w:rPr>
          <w:rFonts w:ascii="Times New Roman" w:hAnsi="Times New Roman"/>
          <w:sz w:val="24"/>
          <w:szCs w:val="24"/>
        </w:rPr>
        <w:t>102,2</w:t>
      </w:r>
      <w:r w:rsidR="00747E10" w:rsidRPr="005F481D">
        <w:rPr>
          <w:rFonts w:ascii="Times New Roman" w:hAnsi="Times New Roman"/>
          <w:sz w:val="24"/>
          <w:szCs w:val="24"/>
        </w:rPr>
        <w:t xml:space="preserve"> кв. м</w:t>
      </w:r>
      <w:r w:rsidR="00747E1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D2DC1">
        <w:rPr>
          <w:rStyle w:val="1"/>
          <w:rFonts w:ascii="Times New Roman" w:hAnsi="Times New Roman"/>
          <w:sz w:val="24"/>
          <w:szCs w:val="24"/>
        </w:rPr>
        <w:t>с земельным участком</w:t>
      </w:r>
      <w:r w:rsidR="00747E10">
        <w:rPr>
          <w:rStyle w:val="1"/>
          <w:rFonts w:ascii="Times New Roman" w:hAnsi="Times New Roman"/>
          <w:sz w:val="24"/>
          <w:szCs w:val="24"/>
        </w:rPr>
        <w:t xml:space="preserve"> </w:t>
      </w:r>
      <w:r w:rsidR="00747E10">
        <w:rPr>
          <w:rFonts w:ascii="Times New Roman" w:hAnsi="Times New Roman"/>
          <w:sz w:val="24"/>
          <w:szCs w:val="24"/>
        </w:rPr>
        <w:t>площадью 630 кв. м,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кадастровый номер 72:06:11 01 001:0004, категория земель: земли населенных пунктов, разрешенное и</w:t>
      </w:r>
      <w:r w:rsidRPr="00DD2DC1">
        <w:rPr>
          <w:rStyle w:val="1"/>
          <w:rFonts w:ascii="Times New Roman" w:hAnsi="Times New Roman"/>
          <w:sz w:val="24"/>
          <w:szCs w:val="24"/>
        </w:rPr>
        <w:t>с</w:t>
      </w:r>
      <w:r w:rsidRPr="00DD2DC1">
        <w:rPr>
          <w:rStyle w:val="1"/>
          <w:rFonts w:ascii="Times New Roman" w:hAnsi="Times New Roman"/>
          <w:sz w:val="24"/>
          <w:szCs w:val="24"/>
        </w:rPr>
        <w:t>пользование: для эксплуатации, обслуживания нежилых строений</w:t>
      </w:r>
    </w:p>
    <w:p w:rsidR="006A63CA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6A63CA" w:rsidRPr="005F481D" w:rsidRDefault="006A63CA" w:rsidP="006A63CA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057E">
        <w:rPr>
          <w:rFonts w:ascii="Times New Roman" w:hAnsi="Times New Roman"/>
          <w:sz w:val="24"/>
          <w:szCs w:val="24"/>
        </w:rPr>
        <w:t>193 180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Здания </w:t>
      </w:r>
      <w:r w:rsidR="005A057E">
        <w:rPr>
          <w:rFonts w:ascii="Times New Roman" w:eastAsia="Times New Roman" w:hAnsi="Times New Roman"/>
          <w:bCs/>
          <w:sz w:val="24"/>
          <w:szCs w:val="24"/>
          <w:lang w:eastAsia="ru-RU"/>
        </w:rPr>
        <w:t>52 690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A057E">
        <w:rPr>
          <w:rFonts w:ascii="Times New Roman" w:eastAsia="Times New Roman" w:hAnsi="Times New Roman"/>
          <w:bCs/>
          <w:sz w:val="24"/>
          <w:szCs w:val="24"/>
          <w:lang w:eastAsia="ru-RU"/>
        </w:rPr>
        <w:t>40 490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38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636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9A4750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32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proofErr w:type="spellStart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Тобольский</w:t>
      </w:r>
      <w:proofErr w:type="spellEnd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балак</w:t>
      </w:r>
      <w:proofErr w:type="spellEnd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, ул.Набережная, д.7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>площадь: общая 1010 кв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>.м</w:t>
      </w:r>
      <w:proofErr w:type="gramEnd"/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481 400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776 520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1 704 880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496 280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24 814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38327A" w:rsidRDefault="0038327A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proofErr w:type="gramEnd"/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</w:t>
      </w:r>
      <w:proofErr w:type="spell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proofErr w:type="gramEnd"/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  <w:proofErr w:type="gramStart"/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</w:t>
      </w:r>
      <w:proofErr w:type="spellStart"/>
      <w:r w:rsidRPr="005F481D">
        <w:rPr>
          <w:rFonts w:ascii="Times New Roman" w:hAnsi="Times New Roman"/>
          <w:sz w:val="24"/>
          <w:szCs w:val="24"/>
        </w:rPr>
        <w:t>Западно-Сибирском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proofErr w:type="gramEnd"/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 Ознакомление с имуществом после согласования с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службы технической поддержки </w:t>
      </w:r>
      <w:proofErr w:type="spellStart"/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lot-online.ru</w:t>
      </w:r>
      <w:proofErr w:type="spellEnd"/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8-800-777-57-57, </w:t>
      </w:r>
      <w:proofErr w:type="spellStart"/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доб</w:t>
      </w:r>
      <w:proofErr w:type="spellEnd"/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</w:t>
      </w:r>
      <w:proofErr w:type="spell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A72254">
        <w:rPr>
          <w:b w:val="0"/>
          <w:sz w:val="24"/>
          <w:szCs w:val="24"/>
        </w:rPr>
        <w:t>01.03</w:t>
      </w:r>
      <w:r w:rsidR="00CF1048">
        <w:rPr>
          <w:b w:val="0"/>
          <w:sz w:val="24"/>
          <w:szCs w:val="24"/>
        </w:rPr>
        <w:t>.202</w:t>
      </w:r>
      <w:r w:rsidR="00FF5163">
        <w:rPr>
          <w:b w:val="0"/>
          <w:sz w:val="24"/>
          <w:szCs w:val="24"/>
        </w:rPr>
        <w:t>2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21" w:rsidRDefault="00D12821" w:rsidP="00AD6AA2">
      <w:pPr>
        <w:spacing w:after="0" w:line="240" w:lineRule="auto"/>
      </w:pPr>
      <w:r>
        <w:separator/>
      </w:r>
    </w:p>
  </w:endnote>
  <w:endnote w:type="continuationSeparator" w:id="0">
    <w:p w:rsidR="00D12821" w:rsidRDefault="00D12821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21" w:rsidRDefault="00D12821" w:rsidP="00AD6AA2">
      <w:pPr>
        <w:spacing w:after="0" w:line="240" w:lineRule="auto"/>
      </w:pPr>
      <w:r>
        <w:separator/>
      </w:r>
    </w:p>
  </w:footnote>
  <w:footnote w:type="continuationSeparator" w:id="0">
    <w:p w:rsidR="00D12821" w:rsidRDefault="00D12821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6FDE"/>
    <w:rsid w:val="00007C2B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341C"/>
    <w:rsid w:val="000340F4"/>
    <w:rsid w:val="00034D1B"/>
    <w:rsid w:val="00036AC2"/>
    <w:rsid w:val="00044357"/>
    <w:rsid w:val="0005101B"/>
    <w:rsid w:val="00052569"/>
    <w:rsid w:val="00052960"/>
    <w:rsid w:val="00054B3D"/>
    <w:rsid w:val="00057093"/>
    <w:rsid w:val="00060002"/>
    <w:rsid w:val="00064A5B"/>
    <w:rsid w:val="00070203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11956"/>
    <w:rsid w:val="001144DA"/>
    <w:rsid w:val="00114F15"/>
    <w:rsid w:val="00116A72"/>
    <w:rsid w:val="0012291F"/>
    <w:rsid w:val="00143775"/>
    <w:rsid w:val="00147CAD"/>
    <w:rsid w:val="001576AF"/>
    <w:rsid w:val="0016082D"/>
    <w:rsid w:val="00166D7D"/>
    <w:rsid w:val="001708A9"/>
    <w:rsid w:val="00170F8B"/>
    <w:rsid w:val="00173B35"/>
    <w:rsid w:val="00177444"/>
    <w:rsid w:val="00182662"/>
    <w:rsid w:val="00183A36"/>
    <w:rsid w:val="001867A6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3538"/>
    <w:rsid w:val="001E5550"/>
    <w:rsid w:val="001E5701"/>
    <w:rsid w:val="001E581D"/>
    <w:rsid w:val="001F19FE"/>
    <w:rsid w:val="001F2569"/>
    <w:rsid w:val="001F2968"/>
    <w:rsid w:val="001F34BF"/>
    <w:rsid w:val="00202229"/>
    <w:rsid w:val="00203794"/>
    <w:rsid w:val="002042D8"/>
    <w:rsid w:val="00214A1A"/>
    <w:rsid w:val="00223C97"/>
    <w:rsid w:val="00227CAE"/>
    <w:rsid w:val="002305C1"/>
    <w:rsid w:val="002344B4"/>
    <w:rsid w:val="00235157"/>
    <w:rsid w:val="00242F58"/>
    <w:rsid w:val="00244738"/>
    <w:rsid w:val="0024669F"/>
    <w:rsid w:val="00246800"/>
    <w:rsid w:val="00250390"/>
    <w:rsid w:val="00257DDF"/>
    <w:rsid w:val="00265FB8"/>
    <w:rsid w:val="00273EBC"/>
    <w:rsid w:val="00276B71"/>
    <w:rsid w:val="002828A2"/>
    <w:rsid w:val="0028771C"/>
    <w:rsid w:val="00290B3D"/>
    <w:rsid w:val="0029114B"/>
    <w:rsid w:val="002965E9"/>
    <w:rsid w:val="002A2939"/>
    <w:rsid w:val="002B16BD"/>
    <w:rsid w:val="002B6F8A"/>
    <w:rsid w:val="002C0BB1"/>
    <w:rsid w:val="002D2C00"/>
    <w:rsid w:val="002E4086"/>
    <w:rsid w:val="002F0745"/>
    <w:rsid w:val="002F07D3"/>
    <w:rsid w:val="00307A1D"/>
    <w:rsid w:val="003216A7"/>
    <w:rsid w:val="003241E5"/>
    <w:rsid w:val="00326514"/>
    <w:rsid w:val="003279CE"/>
    <w:rsid w:val="00342725"/>
    <w:rsid w:val="00345763"/>
    <w:rsid w:val="0034751F"/>
    <w:rsid w:val="00353AE0"/>
    <w:rsid w:val="00354618"/>
    <w:rsid w:val="0036079C"/>
    <w:rsid w:val="00370ED2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25485"/>
    <w:rsid w:val="0042579D"/>
    <w:rsid w:val="00427B92"/>
    <w:rsid w:val="0043230C"/>
    <w:rsid w:val="00435568"/>
    <w:rsid w:val="00440C3C"/>
    <w:rsid w:val="00442D20"/>
    <w:rsid w:val="00442F66"/>
    <w:rsid w:val="004446B9"/>
    <w:rsid w:val="00446C5E"/>
    <w:rsid w:val="00454C2F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6E13"/>
    <w:rsid w:val="004A18ED"/>
    <w:rsid w:val="004A3942"/>
    <w:rsid w:val="004A3B3B"/>
    <w:rsid w:val="004B1F9A"/>
    <w:rsid w:val="004C2DFC"/>
    <w:rsid w:val="004C3A9F"/>
    <w:rsid w:val="004D573B"/>
    <w:rsid w:val="004D6086"/>
    <w:rsid w:val="004E3A0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9D5"/>
    <w:rsid w:val="005470CF"/>
    <w:rsid w:val="005479BB"/>
    <w:rsid w:val="00552CDB"/>
    <w:rsid w:val="0055403E"/>
    <w:rsid w:val="00554645"/>
    <w:rsid w:val="0056272B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6B"/>
    <w:rsid w:val="005A057E"/>
    <w:rsid w:val="005A254A"/>
    <w:rsid w:val="005A47CA"/>
    <w:rsid w:val="005B2ADD"/>
    <w:rsid w:val="005B3FE7"/>
    <w:rsid w:val="005B4353"/>
    <w:rsid w:val="005B67DC"/>
    <w:rsid w:val="005B6C47"/>
    <w:rsid w:val="005C35FC"/>
    <w:rsid w:val="005D0E5A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12090"/>
    <w:rsid w:val="00612161"/>
    <w:rsid w:val="0061331E"/>
    <w:rsid w:val="00615A6E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8225F"/>
    <w:rsid w:val="00791A22"/>
    <w:rsid w:val="00792BAD"/>
    <w:rsid w:val="0079367F"/>
    <w:rsid w:val="00794666"/>
    <w:rsid w:val="007A0118"/>
    <w:rsid w:val="007A042A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228F5"/>
    <w:rsid w:val="00825255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8729E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5213"/>
    <w:rsid w:val="008F6909"/>
    <w:rsid w:val="00907756"/>
    <w:rsid w:val="00913C60"/>
    <w:rsid w:val="00920A26"/>
    <w:rsid w:val="00924309"/>
    <w:rsid w:val="00934E5D"/>
    <w:rsid w:val="009424F5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2F4A"/>
    <w:rsid w:val="009F2053"/>
    <w:rsid w:val="009F3EB8"/>
    <w:rsid w:val="00A0205C"/>
    <w:rsid w:val="00A1783A"/>
    <w:rsid w:val="00A17F51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54"/>
    <w:rsid w:val="00A722E0"/>
    <w:rsid w:val="00A776C7"/>
    <w:rsid w:val="00A83CBB"/>
    <w:rsid w:val="00A847F5"/>
    <w:rsid w:val="00A9031A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174FA"/>
    <w:rsid w:val="00B2425A"/>
    <w:rsid w:val="00B247ED"/>
    <w:rsid w:val="00B31BB5"/>
    <w:rsid w:val="00B322C6"/>
    <w:rsid w:val="00B347ED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6D5E"/>
    <w:rsid w:val="00B6786B"/>
    <w:rsid w:val="00B70E71"/>
    <w:rsid w:val="00B71174"/>
    <w:rsid w:val="00B756DC"/>
    <w:rsid w:val="00B77447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C24"/>
    <w:rsid w:val="00C563D2"/>
    <w:rsid w:val="00C61064"/>
    <w:rsid w:val="00C61836"/>
    <w:rsid w:val="00C61CD1"/>
    <w:rsid w:val="00C62B88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27C0"/>
    <w:rsid w:val="00CB7C28"/>
    <w:rsid w:val="00CC1DBD"/>
    <w:rsid w:val="00CD6810"/>
    <w:rsid w:val="00CD75CA"/>
    <w:rsid w:val="00CE4AA7"/>
    <w:rsid w:val="00CE5E13"/>
    <w:rsid w:val="00CF1048"/>
    <w:rsid w:val="00D05D09"/>
    <w:rsid w:val="00D05E48"/>
    <w:rsid w:val="00D069D6"/>
    <w:rsid w:val="00D12821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24AB"/>
    <w:rsid w:val="00DA59D8"/>
    <w:rsid w:val="00DB2194"/>
    <w:rsid w:val="00DB32C6"/>
    <w:rsid w:val="00DB5965"/>
    <w:rsid w:val="00DC6B21"/>
    <w:rsid w:val="00DD2A19"/>
    <w:rsid w:val="00DD2DC1"/>
    <w:rsid w:val="00DD41A3"/>
    <w:rsid w:val="00DE3AFE"/>
    <w:rsid w:val="00DF1385"/>
    <w:rsid w:val="00DF2BB9"/>
    <w:rsid w:val="00DF6021"/>
    <w:rsid w:val="00DF6278"/>
    <w:rsid w:val="00E009BD"/>
    <w:rsid w:val="00E01B17"/>
    <w:rsid w:val="00E04A31"/>
    <w:rsid w:val="00E064FB"/>
    <w:rsid w:val="00E1077C"/>
    <w:rsid w:val="00E13FE6"/>
    <w:rsid w:val="00E16AD7"/>
    <w:rsid w:val="00E21540"/>
    <w:rsid w:val="00E24377"/>
    <w:rsid w:val="00E317B4"/>
    <w:rsid w:val="00E32480"/>
    <w:rsid w:val="00E33009"/>
    <w:rsid w:val="00E36708"/>
    <w:rsid w:val="00E40370"/>
    <w:rsid w:val="00E47E6C"/>
    <w:rsid w:val="00E533A3"/>
    <w:rsid w:val="00E57E4B"/>
    <w:rsid w:val="00E600A7"/>
    <w:rsid w:val="00E61144"/>
    <w:rsid w:val="00E61441"/>
    <w:rsid w:val="00E7152A"/>
    <w:rsid w:val="00E74696"/>
    <w:rsid w:val="00E75D1D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6558"/>
    <w:rsid w:val="00EA79A4"/>
    <w:rsid w:val="00EC5D5B"/>
    <w:rsid w:val="00EC6279"/>
    <w:rsid w:val="00EC7CAD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E795-2818-4961-AC65-03CC235F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20783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89</cp:revision>
  <cp:lastPrinted>2022-02-21T10:08:00Z</cp:lastPrinted>
  <dcterms:created xsi:type="dcterms:W3CDTF">2021-09-07T04:45:00Z</dcterms:created>
  <dcterms:modified xsi:type="dcterms:W3CDTF">2022-02-28T06:43:00Z</dcterms:modified>
</cp:coreProperties>
</file>