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75A04CA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30672D" w:rsidRPr="0080780B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30672D" w:rsidRPr="0080780B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51A2C368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Электронный аукцион будет проводиться</w:t>
      </w:r>
      <w:r w:rsidR="001B44A7" w:rsidRPr="0080780B">
        <w:rPr>
          <w:b/>
          <w:bCs/>
        </w:rPr>
        <w:t xml:space="preserve"> </w:t>
      </w:r>
      <w:r w:rsidR="00770354">
        <w:rPr>
          <w:b/>
          <w:bCs/>
        </w:rPr>
        <w:t>05</w:t>
      </w:r>
      <w:r w:rsidR="0010132E">
        <w:rPr>
          <w:b/>
          <w:bCs/>
        </w:rPr>
        <w:t xml:space="preserve"> апреля</w:t>
      </w:r>
      <w:r w:rsidR="000C22D8" w:rsidRPr="0080780B">
        <w:rPr>
          <w:b/>
          <w:bCs/>
        </w:rPr>
        <w:t xml:space="preserve"> </w:t>
      </w:r>
      <w:r w:rsidRPr="0080780B">
        <w:rPr>
          <w:b/>
          <w:bCs/>
        </w:rPr>
        <w:t>20</w:t>
      </w:r>
      <w:r w:rsidR="00F70A41" w:rsidRPr="0080780B">
        <w:rPr>
          <w:b/>
          <w:bCs/>
        </w:rPr>
        <w:t>2</w:t>
      </w:r>
      <w:r w:rsidR="0030672D" w:rsidRPr="0080780B">
        <w:rPr>
          <w:b/>
          <w:bCs/>
        </w:rPr>
        <w:t>2</w:t>
      </w:r>
      <w:r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 xml:space="preserve">г. </w:t>
      </w:r>
      <w:r w:rsidR="00E67756" w:rsidRPr="0080780B">
        <w:rPr>
          <w:b/>
          <w:bCs/>
        </w:rPr>
        <w:t>в</w:t>
      </w:r>
      <w:r w:rsidR="008B0EB8"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>1</w:t>
      </w:r>
      <w:r w:rsidR="0080780B" w:rsidRPr="0080780B">
        <w:rPr>
          <w:b/>
          <w:bCs/>
        </w:rPr>
        <w:t>2</w:t>
      </w:r>
      <w:r w:rsidR="003661A8" w:rsidRPr="0080780B">
        <w:rPr>
          <w:b/>
          <w:bCs/>
        </w:rPr>
        <w:t>:</w:t>
      </w:r>
      <w:r w:rsidR="008B0EB8" w:rsidRPr="0080780B">
        <w:rPr>
          <w:b/>
          <w:bCs/>
        </w:rPr>
        <w:t>00</w:t>
      </w:r>
    </w:p>
    <w:p w14:paraId="570D800A" w14:textId="77777777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80780B" w:rsidRDefault="00D5284D" w:rsidP="00CC109E">
      <w:pPr>
        <w:jc w:val="center"/>
        <w:rPr>
          <w:b/>
          <w:bCs/>
        </w:rPr>
      </w:pPr>
      <w:hyperlink r:id="rId8" w:history="1">
        <w:r w:rsidR="00C5381B" w:rsidRPr="0080780B">
          <w:rPr>
            <w:rStyle w:val="a3"/>
          </w:rPr>
          <w:t>www.lot-online.ru</w:t>
        </w:r>
      </w:hyperlink>
      <w:r w:rsidR="00C5381B" w:rsidRPr="0080780B">
        <w:rPr>
          <w:b/>
          <w:bCs/>
        </w:rPr>
        <w:t xml:space="preserve"> </w:t>
      </w:r>
    </w:p>
    <w:p w14:paraId="69113900" w14:textId="77777777" w:rsidR="00BF4A94" w:rsidRPr="0080780B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80780B" w:rsidRDefault="003A4567" w:rsidP="00905507">
      <w:pPr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80780B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3FD9DDB0" w:rsidR="005671ED" w:rsidRPr="0080780B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80780B">
        <w:rPr>
          <w:rFonts w:eastAsia="Times New Roman" w:cs="Times New Roman"/>
          <w:lang w:eastAsia="ru-RU"/>
        </w:rPr>
        <w:t>Прием заявок с</w:t>
      </w:r>
      <w:r w:rsidR="00D00B16" w:rsidRPr="0080780B">
        <w:rPr>
          <w:rFonts w:eastAsia="Times New Roman" w:cs="Times New Roman"/>
          <w:lang w:eastAsia="ru-RU"/>
        </w:rPr>
        <w:t xml:space="preserve"> </w:t>
      </w:r>
      <w:r w:rsidR="0080780B" w:rsidRPr="0080780B">
        <w:rPr>
          <w:rFonts w:eastAsia="Times New Roman" w:cs="Times New Roman"/>
          <w:lang w:eastAsia="ru-RU"/>
        </w:rPr>
        <w:t>1</w:t>
      </w:r>
      <w:r w:rsidR="00770354">
        <w:rPr>
          <w:rFonts w:eastAsia="Times New Roman" w:cs="Times New Roman"/>
          <w:lang w:eastAsia="ru-RU"/>
        </w:rPr>
        <w:t>7</w:t>
      </w:r>
      <w:r w:rsidR="0080780B" w:rsidRPr="0080780B">
        <w:rPr>
          <w:rFonts w:eastAsia="Times New Roman" w:cs="Times New Roman"/>
          <w:lang w:eastAsia="ru-RU"/>
        </w:rPr>
        <w:t xml:space="preserve">:00 </w:t>
      </w:r>
      <w:r w:rsidR="0010132E">
        <w:rPr>
          <w:rFonts w:eastAsia="Times New Roman" w:cs="Times New Roman"/>
          <w:lang w:eastAsia="ru-RU"/>
        </w:rPr>
        <w:t>02</w:t>
      </w:r>
      <w:r w:rsidR="00FD4D45">
        <w:rPr>
          <w:rFonts w:eastAsia="Times New Roman" w:cs="Times New Roman"/>
          <w:lang w:eastAsia="ru-RU"/>
        </w:rPr>
        <w:t xml:space="preserve"> марта</w:t>
      </w:r>
      <w:r w:rsidR="00EB011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054A51">
        <w:rPr>
          <w:rFonts w:eastAsia="Times New Roman" w:cs="Times New Roman"/>
          <w:lang w:eastAsia="ru-RU"/>
        </w:rPr>
        <w:t>22</w:t>
      </w:r>
      <w:r w:rsidRPr="0080780B">
        <w:rPr>
          <w:rFonts w:eastAsia="Times New Roman" w:cs="Times New Roman"/>
          <w:lang w:eastAsia="ru-RU"/>
        </w:rPr>
        <w:t xml:space="preserve"> г. по</w:t>
      </w:r>
      <w:r w:rsidR="00F017D9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0</w:t>
      </w:r>
      <w:r w:rsidR="00770354">
        <w:rPr>
          <w:rFonts w:eastAsia="Times New Roman" w:cs="Times New Roman"/>
          <w:lang w:eastAsia="ru-RU"/>
        </w:rPr>
        <w:t>4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апреля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70A41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 xml:space="preserve">г. </w:t>
      </w:r>
      <w:r w:rsidR="008B0EB8" w:rsidRPr="0080780B">
        <w:rPr>
          <w:rFonts w:eastAsia="Times New Roman" w:cs="Times New Roman"/>
          <w:bCs/>
          <w:lang w:eastAsia="ru-RU"/>
        </w:rPr>
        <w:t xml:space="preserve">до </w:t>
      </w:r>
      <w:r w:rsidR="00D50000" w:rsidRPr="0080780B">
        <w:rPr>
          <w:rFonts w:eastAsia="Times New Roman" w:cs="Times New Roman"/>
          <w:bCs/>
          <w:lang w:eastAsia="ru-RU"/>
        </w:rPr>
        <w:t>1</w:t>
      </w:r>
      <w:r w:rsidR="00770354">
        <w:rPr>
          <w:rFonts w:eastAsia="Times New Roman" w:cs="Times New Roman"/>
          <w:bCs/>
          <w:lang w:eastAsia="ru-RU"/>
        </w:rPr>
        <w:t>5</w:t>
      </w:r>
      <w:r w:rsidR="00C5381B" w:rsidRPr="0080780B">
        <w:rPr>
          <w:rFonts w:eastAsia="Times New Roman" w:cs="Times New Roman"/>
          <w:bCs/>
          <w:lang w:eastAsia="ru-RU"/>
        </w:rPr>
        <w:t>:</w:t>
      </w:r>
      <w:r w:rsidR="008B0EB8" w:rsidRPr="0080780B">
        <w:rPr>
          <w:rFonts w:eastAsia="Times New Roman" w:cs="Times New Roman"/>
          <w:bCs/>
          <w:lang w:eastAsia="ru-RU"/>
        </w:rPr>
        <w:t>00.</w:t>
      </w:r>
    </w:p>
    <w:p w14:paraId="2946BDAA" w14:textId="26B73D42" w:rsidR="003A4567" w:rsidRPr="0080780B" w:rsidRDefault="003A4567" w:rsidP="0018511C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18511C" w:rsidRPr="0080780B">
        <w:rPr>
          <w:rFonts w:eastAsia="Times New Roman" w:cs="Times New Roman"/>
          <w:lang w:eastAsia="ru-RU"/>
        </w:rPr>
        <w:t xml:space="preserve"> 1</w:t>
      </w:r>
      <w:r w:rsidR="00770354">
        <w:rPr>
          <w:rFonts w:eastAsia="Times New Roman" w:cs="Times New Roman"/>
          <w:lang w:eastAsia="ru-RU"/>
        </w:rPr>
        <w:t>5</w:t>
      </w:r>
      <w:r w:rsidR="0018511C" w:rsidRPr="0080780B">
        <w:rPr>
          <w:rFonts w:eastAsia="Times New Roman" w:cs="Times New Roman"/>
          <w:lang w:eastAsia="ru-RU"/>
        </w:rPr>
        <w:t>:00</w:t>
      </w:r>
      <w:r w:rsidR="00BF4A94" w:rsidRPr="0080780B">
        <w:rPr>
          <w:rFonts w:eastAsia="Times New Roman" w:cs="Times New Roman"/>
          <w:lang w:eastAsia="ru-RU"/>
        </w:rPr>
        <w:t xml:space="preserve"> </w:t>
      </w:r>
      <w:r w:rsidR="00770354">
        <w:rPr>
          <w:rFonts w:eastAsia="Times New Roman" w:cs="Times New Roman"/>
          <w:lang w:eastAsia="ru-RU"/>
        </w:rPr>
        <w:t>04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="0010132E">
        <w:rPr>
          <w:rFonts w:eastAsia="Times New Roman" w:cs="Times New Roman"/>
          <w:lang w:eastAsia="ru-RU"/>
        </w:rPr>
        <w:t>апреля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A587D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>г.</w:t>
      </w:r>
      <w:r w:rsidR="002513DC" w:rsidRPr="0080780B">
        <w:rPr>
          <w:rFonts w:eastAsia="Times New Roman" w:cs="Times New Roman"/>
          <w:lang w:eastAsia="ru-RU"/>
        </w:rPr>
        <w:t xml:space="preserve"> </w:t>
      </w:r>
    </w:p>
    <w:p w14:paraId="405DEAB7" w14:textId="1D173619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 xml:space="preserve">осуществляется </w:t>
      </w:r>
      <w:r w:rsidR="0010132E">
        <w:rPr>
          <w:rFonts w:eastAsia="Times New Roman" w:cs="Times New Roman"/>
          <w:lang w:eastAsia="ru-RU"/>
        </w:rPr>
        <w:t>до 17:00</w:t>
      </w:r>
      <w:r w:rsidR="00B01553">
        <w:rPr>
          <w:rFonts w:eastAsia="Times New Roman" w:cs="Times New Roman"/>
          <w:lang w:eastAsia="ru-RU"/>
        </w:rPr>
        <w:t xml:space="preserve"> </w:t>
      </w:r>
      <w:r w:rsidR="00770354">
        <w:rPr>
          <w:rFonts w:eastAsia="Times New Roman" w:cs="Times New Roman"/>
          <w:lang w:eastAsia="ru-RU"/>
        </w:rPr>
        <w:t>04</w:t>
      </w:r>
      <w:r w:rsidR="0010132E">
        <w:rPr>
          <w:rFonts w:eastAsia="Times New Roman" w:cs="Times New Roman"/>
          <w:lang w:eastAsia="ru-RU"/>
        </w:rPr>
        <w:t xml:space="preserve"> апреля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202</w:t>
      </w:r>
      <w:r w:rsidR="0030672D" w:rsidRPr="0080780B">
        <w:rPr>
          <w:rFonts w:eastAsia="Times New Roman" w:cs="Times New Roman"/>
          <w:lang w:eastAsia="ru-RU"/>
        </w:rPr>
        <w:t>2</w:t>
      </w:r>
      <w:r w:rsidR="00E67756" w:rsidRPr="0080780B">
        <w:rPr>
          <w:rFonts w:eastAsia="Times New Roman" w:cs="Times New Roman"/>
          <w:lang w:eastAsia="ru-RU"/>
        </w:rPr>
        <w:t xml:space="preserve"> г.</w:t>
      </w: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081729C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8B4185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8B4185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6C4DEEE4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5027D8A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1E763D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1E763D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</w:t>
      </w:r>
      <w:r w:rsidR="007F3160" w:rsidRPr="007F3160">
        <w:rPr>
          <w:rFonts w:eastAsia="Times New Roman" w:cs="Times New Roman"/>
          <w:lang w:eastAsia="ru-RU"/>
        </w:rPr>
        <w:t>2397681</w:t>
      </w:r>
      <w:r w:rsidR="00D437AB" w:rsidRPr="00C5381B">
        <w:rPr>
          <w:rFonts w:eastAsia="Times New Roman" w:cs="Times New Roman"/>
          <w:lang w:eastAsia="ru-RU"/>
        </w:rPr>
        <w:t>-РАД от 27.08.2018г.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77777777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141C90">
        <w:rPr>
          <w:rFonts w:cs="Times New Roman"/>
          <w:b/>
        </w:rPr>
        <w:t>е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17D6C374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141C90">
        <w:rPr>
          <w:rFonts w:cs="Times New Roman"/>
          <w:b/>
        </w:rPr>
        <w:t>ого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2449F668" w14:textId="4736AA50" w:rsidR="00770354" w:rsidRPr="00770354" w:rsidRDefault="009414A8" w:rsidP="00770354">
      <w:pPr>
        <w:ind w:right="-57" w:firstLine="567"/>
        <w:jc w:val="both"/>
        <w:rPr>
          <w:rFonts w:eastAsia="Calibri" w:cs="Times New Roman"/>
          <w:bCs/>
          <w:kern w:val="0"/>
          <w:lang w:eastAsia="ru-RU" w:bidi="ar-SA"/>
        </w:rPr>
      </w:pPr>
      <w:r>
        <w:tab/>
      </w:r>
      <w:r w:rsidR="00770354" w:rsidRPr="00770354">
        <w:rPr>
          <w:rFonts w:eastAsia="Calibri" w:cs="Times New Roman"/>
          <w:bCs/>
          <w:kern w:val="0"/>
          <w:lang w:eastAsia="ru-RU" w:bidi="ar-SA"/>
        </w:rPr>
        <w:t>Объект расположен в нежилом здании</w:t>
      </w:r>
      <w:r w:rsidR="00A050F5">
        <w:rPr>
          <w:rFonts w:eastAsia="Calibri" w:cs="Times New Roman"/>
          <w:bCs/>
          <w:kern w:val="0"/>
          <w:lang w:eastAsia="ru-RU" w:bidi="ar-SA"/>
        </w:rPr>
        <w:t xml:space="preserve">, общей площадью 89,9 </w:t>
      </w:r>
      <w:proofErr w:type="spellStart"/>
      <w:r w:rsidR="00A050F5">
        <w:rPr>
          <w:rFonts w:eastAsia="Calibri" w:cs="Times New Roman"/>
          <w:bCs/>
          <w:kern w:val="0"/>
          <w:lang w:eastAsia="ru-RU" w:bidi="ar-SA"/>
        </w:rPr>
        <w:t>кв.м</w:t>
      </w:r>
      <w:proofErr w:type="spellEnd"/>
      <w:r w:rsidR="00A050F5">
        <w:rPr>
          <w:rFonts w:eastAsia="Calibri" w:cs="Times New Roman"/>
          <w:bCs/>
          <w:kern w:val="0"/>
          <w:lang w:eastAsia="ru-RU" w:bidi="ar-SA"/>
        </w:rPr>
        <w:t>.,</w:t>
      </w:r>
      <w:r w:rsidR="00770354" w:rsidRPr="00770354">
        <w:rPr>
          <w:rFonts w:eastAsia="Calibri" w:cs="Times New Roman"/>
          <w:bCs/>
          <w:kern w:val="0"/>
          <w:lang w:eastAsia="ru-RU" w:bidi="ar-SA"/>
        </w:rPr>
        <w:t xml:space="preserve"> по адресу: Воронежская область, г. Россошь, ул. Линейная, 16-а, с кадастровым номером 36:27:0012603:78,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36-27-29/2004-329 от 31.12.2004г.</w:t>
      </w:r>
    </w:p>
    <w:p w14:paraId="2578282D" w14:textId="4CAC4093" w:rsidR="0010132E" w:rsidRDefault="00770354" w:rsidP="00770354">
      <w:pPr>
        <w:widowControl/>
        <w:suppressAutoHyphens w:val="0"/>
        <w:ind w:right="-57" w:firstLine="567"/>
        <w:jc w:val="both"/>
        <w:rPr>
          <w:rFonts w:eastAsia="Calibri" w:cs="Times New Roman"/>
          <w:bCs/>
          <w:kern w:val="0"/>
          <w:lang w:eastAsia="ru-RU" w:bidi="ar-SA"/>
        </w:rPr>
      </w:pPr>
      <w:r w:rsidRPr="00770354">
        <w:rPr>
          <w:rFonts w:eastAsia="Calibri" w:cs="Times New Roman"/>
          <w:bCs/>
          <w:kern w:val="0"/>
          <w:lang w:eastAsia="ru-RU" w:bidi="ar-SA"/>
        </w:rPr>
        <w:t>Существующие ограничения (обременения) права: не зарегистрировано.</w:t>
      </w:r>
    </w:p>
    <w:p w14:paraId="1730AC89" w14:textId="324DA06C" w:rsidR="00A050F5" w:rsidRPr="00A050F5" w:rsidRDefault="00A050F5" w:rsidP="00A050F5">
      <w:pPr>
        <w:widowControl/>
        <w:suppressAutoHyphens w:val="0"/>
        <w:ind w:right="-57" w:firstLine="567"/>
        <w:jc w:val="both"/>
        <w:rPr>
          <w:rFonts w:eastAsia="Calibri" w:cs="Times New Roman"/>
          <w:b/>
          <w:bCs/>
          <w:kern w:val="0"/>
          <w:lang w:eastAsia="ru-RU" w:bidi="ar-SA"/>
        </w:rPr>
      </w:pPr>
      <w:r w:rsidRPr="00A050F5">
        <w:rPr>
          <w:rFonts w:eastAsia="Calibri" w:cs="Times New Roman"/>
          <w:b/>
          <w:bCs/>
          <w:kern w:val="0"/>
          <w:u w:val="single"/>
          <w:lang w:eastAsia="ru-RU" w:bidi="ar-SA"/>
        </w:rPr>
        <w:t>Площадь к аренде в полном объеме в нежилом здании</w:t>
      </w:r>
      <w:bookmarkStart w:id="0" w:name="_GoBack"/>
      <w:bookmarkEnd w:id="0"/>
      <w:r w:rsidRPr="00A050F5">
        <w:rPr>
          <w:rFonts w:eastAsia="Calibri" w:cs="Times New Roman"/>
          <w:bCs/>
          <w:kern w:val="0"/>
          <w:lang w:eastAsia="ru-RU" w:bidi="ar-SA"/>
        </w:rPr>
        <w:t xml:space="preserve"> – </w:t>
      </w:r>
      <w:r w:rsidRPr="00A050F5">
        <w:rPr>
          <w:rFonts w:eastAsia="Calibri" w:cs="Times New Roman"/>
          <w:b/>
          <w:bCs/>
          <w:kern w:val="0"/>
          <w:lang w:eastAsia="ru-RU" w:bidi="ar-SA"/>
        </w:rPr>
        <w:t xml:space="preserve">не более 89,9 кв. м. </w:t>
      </w:r>
    </w:p>
    <w:p w14:paraId="50E3BB99" w14:textId="0826A8D1" w:rsidR="00D836A2" w:rsidRDefault="00D836A2" w:rsidP="0010132E">
      <w:pPr>
        <w:pStyle w:val="ab"/>
        <w:ind w:left="0" w:right="-57" w:firstLine="567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14266691" w14:textId="2BCADE26" w:rsidR="00D836A2" w:rsidRDefault="00502767" w:rsidP="00D836A2">
      <w:pPr>
        <w:ind w:firstLine="680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</w:t>
      </w:r>
      <w:r w:rsidR="00E46AAD">
        <w:rPr>
          <w:b/>
        </w:rPr>
        <w:t>а</w:t>
      </w:r>
      <w:r w:rsidRPr="00C5381B">
        <w:rPr>
          <w:b/>
        </w:rPr>
        <w:t>:</w:t>
      </w:r>
    </w:p>
    <w:p w14:paraId="1AB46BE9" w14:textId="77777777" w:rsidR="00057B2E" w:rsidRPr="00057B2E" w:rsidRDefault="00057B2E" w:rsidP="00057B2E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b/>
          <w:color w:val="000000"/>
          <w:u w:val="single"/>
          <w:shd w:val="clear" w:color="auto" w:fill="FFFFFF"/>
        </w:rPr>
        <w:t>Существенное условие:</w:t>
      </w:r>
      <w:r w:rsidRPr="00057B2E">
        <w:rPr>
          <w:rFonts w:cs="Times New Roman"/>
          <w:color w:val="000000"/>
          <w:shd w:val="clear" w:color="auto" w:fill="FFFFFF"/>
        </w:rPr>
        <w:t xml:space="preserve"> сдача в аренду запрещена контрагентам, которые планируют в арендованном помещении размещение:</w:t>
      </w:r>
    </w:p>
    <w:p w14:paraId="169C776E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микрофинансовых организаций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0B9E69C4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табачных изделий;</w:t>
      </w:r>
    </w:p>
    <w:p w14:paraId="574C3D86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разливного алкоголя;</w:t>
      </w:r>
    </w:p>
    <w:p w14:paraId="22E115CC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кальянных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300DFDF7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вейп-шопов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23D4B1D1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представителей оккультных наук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47AEC9C5" w14:textId="62B49735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секс-</w:t>
      </w:r>
      <w:proofErr w:type="spellStart"/>
      <w:r w:rsidRPr="00057B2E">
        <w:rPr>
          <w:rFonts w:cs="Times New Roman"/>
          <w:color w:val="000000"/>
          <w:shd w:val="clear" w:color="auto" w:fill="FFFFFF"/>
        </w:rPr>
        <w:t>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4AEF71B3" w14:textId="77777777" w:rsidR="00057B2E" w:rsidRPr="00057B2E" w:rsidRDefault="00705042" w:rsidP="00057B2E">
      <w:pPr>
        <w:ind w:firstLine="680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t xml:space="preserve">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lastRenderedPageBreak/>
        <w:t>договора</w:t>
      </w:r>
      <w:r w:rsidR="00057B2E" w:rsidRPr="00057B2E">
        <w:rPr>
          <w:rFonts w:eastAsia="Calibri" w:cs="Times New Roman"/>
          <w:b/>
          <w:spacing w:val="-2"/>
          <w:kern w:val="0"/>
          <w:lang w:eastAsia="ru-RU" w:bidi="ar-SA"/>
        </w:rPr>
        <w:t>.</w:t>
      </w:r>
    </w:p>
    <w:p w14:paraId="7166D6E0" w14:textId="77777777" w:rsidR="007F3160" w:rsidRPr="007F3160" w:rsidRDefault="007F3160" w:rsidP="007F3160">
      <w:pPr>
        <w:ind w:firstLine="567"/>
        <w:jc w:val="both"/>
      </w:pPr>
      <w:r w:rsidRPr="007F3160">
        <w:t>Обеспечительный платеж по договору аренды: в течение 5 (пяти) рабочих дней со дня подписания Сторонами Договора. Арендатор перечисляет на счет Доверителя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14E4CF5" w14:textId="795C78B1" w:rsidR="007F3160" w:rsidRPr="007F3160" w:rsidRDefault="007F3160" w:rsidP="007F3160">
      <w:pPr>
        <w:ind w:firstLine="567"/>
        <w:jc w:val="both"/>
      </w:pPr>
      <w:r w:rsidRPr="007F3160">
        <w:t>При наличии обоснованной причины (проведение ремонтных работ для использования помещения по целевому назначению, получение лицензии для начала деятельности и т.д.) возможно рассмотрение предоставления арендных каникул: срок не более 3 месяцев, на время арендных каникул стоимость постоянной арендой платы 50% от постоянной арендной платы. В случае досрочного расторжения договора Арендатор возмещает неустойку в размере скидки на постоянную арендную плату, предоставленной на период арендных каникул.</w:t>
      </w:r>
    </w:p>
    <w:p w14:paraId="03EB16F8" w14:textId="140E082E" w:rsidR="007F3160" w:rsidRPr="007F3160" w:rsidRDefault="007F3160" w:rsidP="007F3160">
      <w:pPr>
        <w:ind w:firstLine="567"/>
        <w:jc w:val="both"/>
      </w:pPr>
      <w:r w:rsidRPr="007F3160"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6CDCD1E7" w14:textId="2B310EB5" w:rsidR="007F3160" w:rsidRPr="007F3160" w:rsidRDefault="007F3160" w:rsidP="007F3160">
      <w:pPr>
        <w:ind w:firstLine="567"/>
        <w:jc w:val="both"/>
      </w:pPr>
      <w:r w:rsidRPr="007F3160">
        <w:t>Индексация арендной платы в одностороннем порядке – Постоянная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6E6D7264" w14:textId="050BA7CD" w:rsidR="007F3160" w:rsidRPr="007F3160" w:rsidRDefault="007F3160" w:rsidP="007F3160">
      <w:pPr>
        <w:ind w:firstLine="567"/>
        <w:jc w:val="both"/>
      </w:pPr>
      <w:r w:rsidRPr="007F3160">
        <w:t>Увеличение в одностороннем порядке производится посредством направления Доверителем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Доверитель вправе уведомить Арендатора не ранее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29EC0B3E" w14:textId="38D2AB8A" w:rsidR="007F3160" w:rsidRPr="007F3160" w:rsidRDefault="007F3160" w:rsidP="007F3160">
      <w:pPr>
        <w:ind w:firstLine="567"/>
        <w:jc w:val="both"/>
        <w:rPr>
          <w:b/>
        </w:rPr>
      </w:pPr>
      <w:r w:rsidRPr="007F3160">
        <w:t>Арендатор и Доверитель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 ГК РФ) путем направления другой Стороне письменного уведомления не позднее, чем за 6 (шесть) месяцев до даты расторжения, указанной в уведомлении, с произведением Сторонами взаиморасчетов на основании Договора, без возмещения каких-либо убытков любой Стороне, связанных с досрочным прекращением Договора. Договор считается расторгнутым с даты, указанной в уведомлении, но не ранее доставки соответствующего сообщения.</w:t>
      </w:r>
    </w:p>
    <w:p w14:paraId="5F781221" w14:textId="17552755" w:rsidR="007F3160" w:rsidRPr="007F3160" w:rsidRDefault="007F3160" w:rsidP="007F3160">
      <w:pPr>
        <w:ind w:firstLine="567"/>
        <w:jc w:val="both"/>
      </w:pPr>
      <w:r w:rsidRPr="007F3160">
        <w:t>Помимо уплаты Постоянной Арендной платы Арендатор возмещает Доверителю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1C5C5634" w14:textId="789B75F4" w:rsidR="007F3160" w:rsidRPr="007F3160" w:rsidRDefault="007F3160" w:rsidP="007F3160">
      <w:pPr>
        <w:ind w:firstLine="567"/>
        <w:jc w:val="both"/>
      </w:pPr>
      <w:r w:rsidRPr="007F316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Доверителя заверенных копий документов, предъявленных снабжающими и обслуживающими организациями, подтверждающих произведенные Доверителем расходы (счет; счет-фактура; платежное требование; акт оказания услуг; показания приборов учета и т.п.), а так же заверенных копий платежных поручений, подтверждающих осуществление Доверителем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1D63D70B" w14:textId="7E22370D" w:rsidR="007F3160" w:rsidRPr="007F3160" w:rsidRDefault="007F3160" w:rsidP="007F3160">
      <w:pPr>
        <w:ind w:firstLine="567"/>
        <w:jc w:val="both"/>
      </w:pPr>
      <w:r w:rsidRPr="007F3160">
        <w:rPr>
          <w:bCs/>
        </w:rPr>
        <w:t>Эксплуатационные расходы в постоянную арендную ставку не входят. Арендатор обязан обеспечить содержание нежилого помещения в надлежащем санитарном состоянии независимо от времени года. Арендатор самостоятельно заключает договоры по эксплуатации для обеспечения содержания входной группы, прилегающей территории и фасада здания, по вывозу снега в зимний период, вывозу мусора и ТО инженерных систем жизнеобеспечения.</w:t>
      </w:r>
    </w:p>
    <w:p w14:paraId="1A3D85C8" w14:textId="16B60F64" w:rsidR="007F3160" w:rsidRPr="007F3160" w:rsidRDefault="007F3160" w:rsidP="007F3160">
      <w:pPr>
        <w:ind w:firstLine="567"/>
        <w:jc w:val="both"/>
      </w:pPr>
      <w:r w:rsidRPr="007F3160">
        <w:t>Обязанность Арендатора не производить неотделимые улучшения на Объекте без предварительного письменного согласия Доверителя.</w:t>
      </w:r>
    </w:p>
    <w:p w14:paraId="454219C1" w14:textId="2BC380B5" w:rsidR="007F3160" w:rsidRPr="007F3160" w:rsidRDefault="007F3160" w:rsidP="007F3160">
      <w:pPr>
        <w:ind w:firstLine="567"/>
        <w:jc w:val="both"/>
      </w:pPr>
      <w:r w:rsidRPr="007F3160">
        <w:lastRenderedPageBreak/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Доверителя, без компенсации затрат Арендатора на произведенные улучшения.</w:t>
      </w:r>
    </w:p>
    <w:p w14:paraId="13E2E1A0" w14:textId="690DE3D4" w:rsidR="007F3160" w:rsidRPr="007F3160" w:rsidRDefault="007F3160" w:rsidP="007F3160">
      <w:pPr>
        <w:ind w:firstLine="567"/>
        <w:jc w:val="both"/>
      </w:pPr>
      <w:r w:rsidRPr="007F3160">
        <w:t>В случае наличия реконструкции или иного переустройства Объекта, согласованного с Доверителем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01F668CE" w14:textId="7F40DFAC" w:rsidR="007F3160" w:rsidRPr="007F3160" w:rsidRDefault="007F3160" w:rsidP="007F3160">
      <w:pPr>
        <w:ind w:firstLine="567"/>
        <w:jc w:val="both"/>
      </w:pPr>
      <w:r w:rsidRPr="007F3160">
        <w:t>Передача в субаренду Объекта возможна только по согласованию с Доверителем.</w:t>
      </w:r>
    </w:p>
    <w:p w14:paraId="651F6AB8" w14:textId="753EB49C" w:rsidR="007F3160" w:rsidRPr="007F3160" w:rsidRDefault="007F3160" w:rsidP="007F3160">
      <w:pPr>
        <w:ind w:firstLine="567"/>
        <w:jc w:val="both"/>
      </w:pPr>
      <w:bookmarkStart w:id="1" w:name="_Ref501108821"/>
      <w:r w:rsidRPr="007F3160">
        <w:t>При нарушении Арендатором сроков перечисления арендной платы и (или) иных платежей по Договору, в том числе срока пополнения обеспечительного платежа, Арендатор обязан уплатить Доверителю за каждый календарный день просрочки неустойку в размере 0,3 (ноль целых трех десятых) %, включая НДС, от просроченной суммы арендной платы.</w:t>
      </w:r>
      <w:bookmarkEnd w:id="1"/>
    </w:p>
    <w:p w14:paraId="014E046B" w14:textId="2D9B5973" w:rsidR="007F3160" w:rsidRPr="007F3160" w:rsidRDefault="007F3160" w:rsidP="007F3160">
      <w:pPr>
        <w:ind w:firstLine="567"/>
        <w:jc w:val="both"/>
      </w:pPr>
      <w:r w:rsidRPr="007F3160">
        <w:t>Досрочное расторжение договора по требованию Доверителя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290C32B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540393DE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 xml:space="preserve">существенно ухудшает Объект; </w:t>
      </w:r>
    </w:p>
    <w:p w14:paraId="284C7FC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производит или произвел реконструкцию (перепланировку, переустройство), капитальный ремонт без письменного согласия Доверителя или с нарушением согласованных сроков и условий;</w:t>
      </w:r>
    </w:p>
    <w:p w14:paraId="19CDF804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изменений в Единый государственный реестр недвижимости;</w:t>
      </w:r>
    </w:p>
    <w:p w14:paraId="0DB0705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более двух раз подряд по истечении установленного Договором срока платежа не вносит арендную плату;</w:t>
      </w:r>
    </w:p>
    <w:p w14:paraId="44D1BC7A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Доверителя;</w:t>
      </w:r>
    </w:p>
    <w:p w14:paraId="3D3861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6F2C31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совершил более чем 2 (двух) нарушений своих обязательств, установленных в Договоре в течение 6 (шести) месяцев;</w:t>
      </w:r>
    </w:p>
    <w:p w14:paraId="1A32571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1843E7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00065AF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работы АИИС КУЭ, произошедшее по вине Арендатора (в случае применения пункта);</w:t>
      </w:r>
    </w:p>
    <w:p w14:paraId="0EDC933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F097F60" w14:textId="00FD771E" w:rsidR="007F3160" w:rsidRPr="007F3160" w:rsidRDefault="007F3160" w:rsidP="007F3160">
      <w:pPr>
        <w:ind w:firstLine="567"/>
        <w:jc w:val="both"/>
      </w:pPr>
      <w:r w:rsidRPr="007F3160">
        <w:t xml:space="preserve">В случае проведения несогласованной с Доверителем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Доверитель вправе отказаться от исполнения договора,  направив Арендатору уведомление о таком отказе не позднее чем за 30 (тридцать) календарных дней. </w:t>
      </w:r>
    </w:p>
    <w:p w14:paraId="43002667" w14:textId="77777777" w:rsidR="00770354" w:rsidRPr="00770354" w:rsidRDefault="00770354" w:rsidP="00770354">
      <w:pPr>
        <w:widowControl/>
        <w:suppressAutoHyphens w:val="0"/>
        <w:ind w:firstLine="567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 w:rsidRPr="00770354">
        <w:rPr>
          <w:rFonts w:eastAsia="Calibri" w:cs="Times New Roman"/>
          <w:spacing w:val="-2"/>
          <w:kern w:val="0"/>
          <w:lang w:eastAsia="ru-RU" w:bidi="ar-SA"/>
        </w:rPr>
        <w:t xml:space="preserve">359 600 (Триста пятьдесят девять тысяч шестьсот) рублей 00 копеек, кроме того НДС (20%) 71 920 (Семьдесят одна тысяча девятьсот двадцать) рублей 00 копеек, всего с учетом НДС </w:t>
      </w:r>
      <w:r w:rsidRPr="00770354">
        <w:rPr>
          <w:rFonts w:eastAsia="Calibri" w:cs="Times New Roman"/>
          <w:b/>
          <w:spacing w:val="-2"/>
          <w:kern w:val="0"/>
          <w:lang w:eastAsia="ru-RU" w:bidi="ar-SA"/>
        </w:rPr>
        <w:t>431 520 (Четыреста тридцать одна тысяча пятьсот двадцать) рублей 00 копеек в год.</w:t>
      </w:r>
    </w:p>
    <w:p w14:paraId="77CE0F29" w14:textId="2C59DDA7" w:rsidR="00770354" w:rsidRPr="00770354" w:rsidRDefault="00770354" w:rsidP="00770354">
      <w:pPr>
        <w:widowControl/>
        <w:suppressAutoHyphens w:val="0"/>
        <w:ind w:right="-57" w:firstLine="567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770354">
        <w:rPr>
          <w:rFonts w:eastAsia="Calibri" w:cs="Times New Roman"/>
          <w:kern w:val="0"/>
          <w:lang w:eastAsia="ru-RU" w:bidi="ar-SA"/>
        </w:rPr>
        <w:lastRenderedPageBreak/>
        <w:t>Сумма задатка устанавливается в размере 35 960 (Тридцать пять тысяч девятьсот шестьдесят) рублей 00 копеек.</w:t>
      </w:r>
    </w:p>
    <w:p w14:paraId="37289E9E" w14:textId="0E9929BC" w:rsidR="00770354" w:rsidRPr="00770354" w:rsidRDefault="00770354" w:rsidP="00770354">
      <w:pPr>
        <w:widowControl/>
        <w:suppressAutoHyphens w:val="0"/>
        <w:ind w:right="-57" w:firstLine="567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770354">
        <w:rPr>
          <w:rFonts w:eastAsia="Calibri" w:cs="Times New Roman"/>
          <w:kern w:val="0"/>
          <w:lang w:eastAsia="ru-RU" w:bidi="ar-SA"/>
        </w:rPr>
        <w:t>Шаг аукциона устанавливается в размере 21 576 (Двадцать одна тысяча пятьсот семьдесят шесть) рублей 00 копеек, 5 % от начальной арендной платы Объекта.</w:t>
      </w:r>
    </w:p>
    <w:p w14:paraId="66A0ECDE" w14:textId="09952EFE" w:rsidR="009B703B" w:rsidRPr="00842074" w:rsidRDefault="009B703B" w:rsidP="00842074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Победитель </w:t>
      </w:r>
      <w:r w:rsidR="00057B2E">
        <w:rPr>
          <w:rFonts w:cs="Times New Roman"/>
          <w:b/>
          <w:bCs/>
        </w:rPr>
        <w:t>оплачивает вышеуказанную арендную плату ежемесячными платежами, в соответствии с договором аренды.</w:t>
      </w:r>
    </w:p>
    <w:p w14:paraId="406BD63D" w14:textId="2049008E" w:rsidR="00C479A0" w:rsidRPr="00C5381B" w:rsidRDefault="009E2778" w:rsidP="008B01EC">
      <w:pPr>
        <w:ind w:right="-57"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9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E66BE2">
      <w:pPr>
        <w:ind w:firstLine="709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E66BE2">
      <w:pPr>
        <w:ind w:firstLine="709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E66BE2">
      <w:pPr>
        <w:ind w:firstLine="709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53345F" w:rsidRDefault="006B2B66" w:rsidP="006B2B66">
      <w:pPr>
        <w:ind w:firstLine="709"/>
        <w:jc w:val="both"/>
        <w:rPr>
          <w:bCs/>
          <w:color w:val="000000"/>
        </w:rPr>
      </w:pPr>
      <w:r w:rsidRPr="0053345F">
        <w:rPr>
          <w:bCs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2.2. Юридические лица:</w:t>
      </w:r>
    </w:p>
    <w:p w14:paraId="5343A04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Учредительные документы;</w:t>
      </w:r>
    </w:p>
    <w:p w14:paraId="6468074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постановке на учет в налоговом органе;</w:t>
      </w:r>
    </w:p>
    <w:p w14:paraId="309C18D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53345F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334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FC273B" w:rsidRDefault="006B2B66" w:rsidP="00FC273B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110399">
        <w:rPr>
          <w:b/>
        </w:rPr>
        <w:t>АО «Российский аукционный дом» (</w:t>
      </w:r>
      <w:r w:rsidR="00FC273B" w:rsidRPr="00FC273B">
        <w:rPr>
          <w:rFonts w:eastAsia="Times New Roman"/>
          <w:b/>
          <w:lang w:eastAsia="ru-RU"/>
        </w:rPr>
        <w:t>ИНН 7838430413, КПП 783801001</w:t>
      </w:r>
      <w:r w:rsidRPr="00110399">
        <w:rPr>
          <w:b/>
        </w:rPr>
        <w:t>)</w:t>
      </w:r>
      <w:r w:rsidR="00B83D73" w:rsidRPr="00110399">
        <w:rPr>
          <w:b/>
        </w:rPr>
        <w:t>.</w:t>
      </w:r>
      <w:r w:rsidR="00FC273B">
        <w:t xml:space="preserve"> </w:t>
      </w:r>
      <w:r w:rsidR="00135544" w:rsidRPr="00C5381B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C5381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C5381B" w:rsidRDefault="006B2B66" w:rsidP="003405A2">
      <w:pPr>
        <w:ind w:right="72"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02E330CF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A8281F">
        <w:t xml:space="preserve">месячной </w:t>
      </w:r>
      <w:r w:rsidRPr="00C5381B">
        <w:t xml:space="preserve">арендной платы по заключению договора аренды. </w:t>
      </w:r>
    </w:p>
    <w:p w14:paraId="5AE73A35" w14:textId="4611C35F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4E97BA8A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>
        <w:t>О</w:t>
      </w:r>
      <w:r w:rsidRPr="00C5381B">
        <w:t>бъекта</w:t>
      </w:r>
      <w:r w:rsidR="00A8281F">
        <w:t>.</w:t>
      </w:r>
    </w:p>
    <w:p w14:paraId="626C7B68" w14:textId="73163202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</w:t>
      </w:r>
      <w:r w:rsidRPr="00C5381B">
        <w:lastRenderedPageBreak/>
        <w:t>аукциона и условиями договора о задатке (договора присоединения).</w:t>
      </w: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5C6CE901" w:rsidR="006B2B66" w:rsidRPr="00C5381B" w:rsidRDefault="00F62303" w:rsidP="006B2B66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3A78D8F9" w14:textId="6C5D9214" w:rsidR="00500CF2" w:rsidRPr="00C5381B" w:rsidRDefault="00500CF2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500CF2"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5F74D092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B4185">
        <w:t>повышение</w:t>
      </w:r>
      <w:r w:rsidRPr="00C5381B">
        <w:t xml:space="preserve"> (</w:t>
      </w:r>
      <w:r w:rsidR="007255C5">
        <w:t>«</w:t>
      </w:r>
      <w:r w:rsidR="008B4185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45B19E38" w14:textId="4072AD9D" w:rsidR="006B2B66" w:rsidRPr="0036061B" w:rsidRDefault="006B2B66" w:rsidP="0036061B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3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A0FB75D" w14:textId="03609C0E" w:rsidR="006B2B66" w:rsidRPr="009E2778" w:rsidRDefault="006B2B66" w:rsidP="006B2B66">
      <w:pPr>
        <w:pStyle w:val="ab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</w:t>
      </w:r>
      <w:r w:rsidRPr="009E2778">
        <w:rPr>
          <w:szCs w:val="24"/>
        </w:rPr>
        <w:lastRenderedPageBreak/>
        <w:t xml:space="preserve">сделавшему предпоследнее предложение по размеру постоянной составляющей </w:t>
      </w:r>
      <w:r w:rsidR="00F62303">
        <w:t>месячной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>
        <w:t>месячной</w:t>
      </w:r>
      <w:r w:rsidR="00F62303" w:rsidRPr="009E2778">
        <w:rPr>
          <w:szCs w:val="24"/>
        </w:rPr>
        <w:t xml:space="preserve"> </w:t>
      </w:r>
      <w:r w:rsidRPr="009E2778">
        <w:rPr>
          <w:szCs w:val="24"/>
        </w:rPr>
        <w:t xml:space="preserve">арендной платы. </w:t>
      </w:r>
    </w:p>
    <w:p w14:paraId="53CD5C6D" w14:textId="30E07810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F62303">
        <w:t>месячной</w:t>
      </w:r>
      <w:r w:rsidR="00F62303" w:rsidRPr="00C5381B">
        <w:t xml:space="preserve">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174DEC39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 xml:space="preserve">постоянной составляющей </w:t>
      </w:r>
      <w:r>
        <w:t>месячной</w:t>
      </w:r>
      <w:r w:rsidRPr="00C5381B">
        <w:rPr>
          <w:color w:val="000000"/>
        </w:rPr>
        <w:t xml:space="preserve">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555A03F1" w:rsidR="00110399" w:rsidRPr="00BD457C" w:rsidRDefault="006B2B66" w:rsidP="00E66BE2">
      <w:pPr>
        <w:ind w:right="-57" w:firstLine="709"/>
        <w:jc w:val="both"/>
        <w:rPr>
          <w:rFonts w:cs="Times New Roman"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F62303" w:rsidRPr="00F62303">
        <w:rPr>
          <w:b/>
          <w:color w:val="000000"/>
        </w:rPr>
        <w:t xml:space="preserve">месячной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sectPr w:rsidR="00110399" w:rsidRPr="00BD457C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AFF8" w14:textId="77777777" w:rsidR="00D5284D" w:rsidRDefault="00D5284D" w:rsidP="006C1A19">
      <w:r>
        <w:separator/>
      </w:r>
    </w:p>
  </w:endnote>
  <w:endnote w:type="continuationSeparator" w:id="0">
    <w:p w14:paraId="206C5590" w14:textId="77777777" w:rsidR="00D5284D" w:rsidRDefault="00D5284D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F5">
          <w:rPr>
            <w:noProof/>
          </w:rPr>
          <w:t>2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EE804" w14:textId="77777777" w:rsidR="00D5284D" w:rsidRDefault="00D5284D" w:rsidP="006C1A19">
      <w:r>
        <w:separator/>
      </w:r>
    </w:p>
  </w:footnote>
  <w:footnote w:type="continuationSeparator" w:id="0">
    <w:p w14:paraId="3CA8DCD0" w14:textId="77777777" w:rsidR="00D5284D" w:rsidRDefault="00D5284D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132E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6A7A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05A2"/>
    <w:rsid w:val="00341462"/>
    <w:rsid w:val="00342F08"/>
    <w:rsid w:val="00350B3B"/>
    <w:rsid w:val="0035241E"/>
    <w:rsid w:val="0036061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4C7F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5C52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48F7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6C8"/>
    <w:rsid w:val="00736E10"/>
    <w:rsid w:val="00736F8B"/>
    <w:rsid w:val="00740AF6"/>
    <w:rsid w:val="00741D6C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0354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1EC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E575A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0F5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1523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2D14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284D"/>
    <w:rsid w:val="00D532F1"/>
    <w:rsid w:val="00D5703D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9A6"/>
    <w:rsid w:val="00D90EDD"/>
    <w:rsid w:val="00D91F74"/>
    <w:rsid w:val="00D922D7"/>
    <w:rsid w:val="00D92C9E"/>
    <w:rsid w:val="00D92DA6"/>
    <w:rsid w:val="00D94E96"/>
    <w:rsid w:val="00D96149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43DF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4D45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6586-EEA5-4FF7-9951-584837CC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Леван Шакая</cp:lastModifiedBy>
  <cp:revision>6</cp:revision>
  <cp:lastPrinted>2022-03-02T09:58:00Z</cp:lastPrinted>
  <dcterms:created xsi:type="dcterms:W3CDTF">2022-03-01T14:04:00Z</dcterms:created>
  <dcterms:modified xsi:type="dcterms:W3CDTF">2022-03-02T10:01:00Z</dcterms:modified>
</cp:coreProperties>
</file>