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0F" w:rsidRDefault="00EB6396" w:rsidP="0053420F">
      <w:pPr>
        <w:spacing w:after="0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proofErr w:type="gramStart"/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Организатор торгов - финансовый управляющий Макарова К. Ю. (ИНН 651701403946, рег. № 14094, СНИЛС 112-824-481-33, член Ассоциации СРО АУ «Меркурий», ИНН 7710458616, ОГРН 1037710023108, адрес 127018, г. Москва, ул. 2-я Ямская, д. 2, оф. 201), действующая на основании Решения Арбитражного суда Сахалинской области от 08.02.2019 года по делу № А59-5350/2018, сообщает о проведении торгов</w:t>
      </w:r>
      <w:r w:rsidR="001078B6"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 в форме публичного предложения</w:t>
      </w:r>
      <w:r w:rsidR="00964FA4"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 </w:t>
      </w:r>
      <w:r w:rsidR="00964FA4" w:rsidRPr="0053420F">
        <w:rPr>
          <w:rFonts w:ascii="Times New Roman" w:hAnsi="Times New Roman" w:cs="Times New Roman"/>
          <w:color w:val="333333"/>
          <w:sz w:val="20"/>
          <w:szCs w:val="20"/>
        </w:rPr>
        <w:t>с открытой формой представления</w:t>
      </w:r>
      <w:proofErr w:type="gramEnd"/>
      <w:r w:rsidR="00964FA4" w:rsidRPr="0053420F">
        <w:rPr>
          <w:rFonts w:ascii="Times New Roman" w:hAnsi="Times New Roman" w:cs="Times New Roman"/>
          <w:color w:val="333333"/>
          <w:sz w:val="20"/>
          <w:szCs w:val="20"/>
        </w:rPr>
        <w:t xml:space="preserve"> предложений о цене</w:t>
      </w:r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 по продаже имущества индивидуального предпринимателя </w:t>
      </w:r>
      <w:proofErr w:type="spellStart"/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Унжакова</w:t>
      </w:r>
      <w:proofErr w:type="spellEnd"/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 Сергея Николаевича, ОГРНИП 304650436400050, ИНН 650302410964, 01.10.1962 года рождения, уроженец </w:t>
      </w:r>
      <w:proofErr w:type="spellStart"/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г</w:t>
      </w:r>
      <w:proofErr w:type="gramStart"/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.Д</w:t>
      </w:r>
      <w:proofErr w:type="gramEnd"/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олинска</w:t>
      </w:r>
      <w:proofErr w:type="spellEnd"/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 Сахалинской области, зарегистрирован по адресу Сахалинская область, Долинский район, с. Сокол, ул. Чкалова д. 21 кв. 34, признанного несостоятельным (банкротом), в отношении которого вышеуказанным судебным актом введена процедура реализации имущества гражданина. Место проведения торгов и место приема заявок на электронной площадке ОАО «Российский аукционный дом» по адресу в сети Интернет www.lot-online.ru.(раздел Банкротство).</w:t>
      </w:r>
      <w:r w:rsidR="0053420F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</w:p>
    <w:p w:rsidR="0053420F" w:rsidRDefault="00EB6396" w:rsidP="0053420F">
      <w:pPr>
        <w:spacing w:after="0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Лот № 1: квартира, назначение жилое, адрес: Сахалинская область, г. Долинск, ул. Комсомольская, д. 31-А, кв. 57, общей площадью 42,3 </w:t>
      </w:r>
      <w:proofErr w:type="spellStart"/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кв.м</w:t>
      </w:r>
      <w:proofErr w:type="spellEnd"/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., кадастровый номер 64:410:001:001423200:0001:10057, принадлежащая на праве собственности. Начальная стоимость лота 3 510 000 (три миллиона пятьсот десять тысяч) рублей. Продаваемое имущество является предметом залога ОАО «Тихоокеанский Внешторгбанк» по договору ипотеки № ДИ-Д-25/2014 от 30.01.2014 года.</w:t>
      </w:r>
      <w:r w:rsidR="0053420F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</w:p>
    <w:p w:rsidR="00964FA4" w:rsidRPr="0053420F" w:rsidRDefault="00964FA4" w:rsidP="0053420F">
      <w:pPr>
        <w:spacing w:after="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</w:pPr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В соответствии с утвержденным залоговым кредитором Положения о продаже имущества, начальная цена продажи устанавливается сроком на 35 календарных дней, по истечении указанного периода цена публичного предложения понижается на 7 процентов каждые 7 дней. Срок приема заявок включает не более 5 этапов снижения цены.</w:t>
      </w:r>
    </w:p>
    <w:p w:rsidR="00174863" w:rsidRPr="0053420F" w:rsidRDefault="00964FA4" w:rsidP="0053420F">
      <w:pPr>
        <w:spacing w:after="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</w:pPr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Прием  </w:t>
      </w:r>
      <w:r w:rsidR="00174863"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заявок начинается с 11.04.2022 по 16.05.2022 – 3 510 000,00</w:t>
      </w:r>
    </w:p>
    <w:p w:rsidR="00174863" w:rsidRPr="0053420F" w:rsidRDefault="00174863" w:rsidP="0053420F">
      <w:pPr>
        <w:spacing w:after="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</w:pPr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С 17.05.2022 по 23.05.2022 – 3 264 300 </w:t>
      </w:r>
      <w:proofErr w:type="spellStart"/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руб</w:t>
      </w:r>
      <w:proofErr w:type="spellEnd"/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, подведение итогов 24.05.2022</w:t>
      </w:r>
    </w:p>
    <w:p w:rsidR="00964FA4" w:rsidRPr="0053420F" w:rsidRDefault="00174863" w:rsidP="0053420F">
      <w:pPr>
        <w:spacing w:after="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</w:pPr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С 25.05.2022 по 31.05.2022 – 3 035 799 </w:t>
      </w:r>
      <w:proofErr w:type="spellStart"/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руб</w:t>
      </w:r>
      <w:proofErr w:type="spellEnd"/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,  </w:t>
      </w:r>
      <w:r w:rsidR="00964FA4"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 </w:t>
      </w:r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подведение итогов</w:t>
      </w:r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 01.06.2022</w:t>
      </w:r>
    </w:p>
    <w:p w:rsidR="00174863" w:rsidRPr="0053420F" w:rsidRDefault="00174863" w:rsidP="0053420F">
      <w:pPr>
        <w:spacing w:after="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</w:pPr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С 02.06.2022 по 08.06.2022 – 2 823 293,07 руб., </w:t>
      </w:r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подведение итогов</w:t>
      </w:r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 09.06.2022</w:t>
      </w:r>
    </w:p>
    <w:p w:rsidR="00174863" w:rsidRPr="0053420F" w:rsidRDefault="00174863" w:rsidP="0053420F">
      <w:pPr>
        <w:spacing w:after="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</w:pPr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С 10.06.2022 по 16.06.2022 – 2 625 662,56 руб., </w:t>
      </w:r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подведение итогов</w:t>
      </w:r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 17.06.2022</w:t>
      </w:r>
    </w:p>
    <w:p w:rsidR="0053420F" w:rsidRDefault="00174863" w:rsidP="0053420F">
      <w:pPr>
        <w:spacing w:after="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</w:pPr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С </w:t>
      </w:r>
      <w:r w:rsidR="0053420F"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18.06.2022 по 24.06.2022 – 2 441 866,18 руб., подведение итогов 27.06.2022</w:t>
      </w:r>
    </w:p>
    <w:p w:rsidR="0053420F" w:rsidRDefault="00EB6396" w:rsidP="0053420F">
      <w:pPr>
        <w:spacing w:after="0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Задаток</w:t>
      </w:r>
      <w:r w:rsidR="0053420F"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 в размере 10% от продажной цены в соответствующем периоде</w:t>
      </w:r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 подлежит внесению Претендентом, путем перечисления денежных средств на счет, указанный в настоящем сообщении. Задаток считается внесенным с момента поступления денежных средств на счет.</w:t>
      </w:r>
      <w:r w:rsidR="0053420F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Заявка на участие в торгах оформляется в форме электронного документа в соответствии с приказом Минэкономразвития России №54 от 15.02.2010 г. и п. 11 ст. 110 федерального закона №127-ФЗ «О несостоятельности (банкротстве)» от 26.10.2002 г. и должна соответствовать Регламенту ЭТП. В торгах могут принять участие юридические и физические лица, в том числе индивидуальные предприниматели, аккредитованные в качестве участников торгов на ЭТП ОАО «Российский аукционный дом», подавшие заявки и перечислившие задаток в установленный срок.</w:t>
      </w:r>
      <w:r w:rsidRPr="0053420F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Реквизиты счета для перечисления суммы задатка и оплаты имущества победителем торгов: Получатель: </w:t>
      </w:r>
      <w:proofErr w:type="spellStart"/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Унжаков</w:t>
      </w:r>
      <w:proofErr w:type="spellEnd"/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 Сергей Николаевич, ИНН 650302410964, </w:t>
      </w:r>
      <w:proofErr w:type="spellStart"/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расч</w:t>
      </w:r>
      <w:proofErr w:type="spellEnd"/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. счет № 40817810650340736368 в Дальневосточном Банке ПАО Сбербанк, </w:t>
      </w:r>
      <w:proofErr w:type="spellStart"/>
      <w:proofErr w:type="gramStart"/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кор</w:t>
      </w:r>
      <w:proofErr w:type="spellEnd"/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. счет</w:t>
      </w:r>
      <w:proofErr w:type="gramEnd"/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 30101810600000000608, БИК 040813608, ИНН 7707083893.</w:t>
      </w:r>
      <w:r w:rsidRPr="0053420F">
        <w:rPr>
          <w:rFonts w:ascii="Times New Roman" w:hAnsi="Times New Roman" w:cs="Times New Roman"/>
          <w:color w:val="333333"/>
          <w:sz w:val="20"/>
          <w:szCs w:val="20"/>
        </w:rPr>
        <w:br/>
      </w:r>
      <w:r w:rsidR="0053420F" w:rsidRPr="0053420F">
        <w:rPr>
          <w:rFonts w:ascii="Times New Roman" w:hAnsi="Times New Roman" w:cs="Times New Roman"/>
          <w:color w:val="333333"/>
          <w:sz w:val="20"/>
          <w:szCs w:val="20"/>
        </w:rPr>
        <w:t>Победителем торгов признается участник торгов, который представил в установленный срок заявку на участие в торгах, содержащую предложение о цене Имущества Должника, которая не ниже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  <w:r w:rsidR="0053420F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</w:p>
    <w:p w:rsidR="0053420F" w:rsidRPr="0053420F" w:rsidRDefault="0053420F" w:rsidP="0053420F">
      <w:pPr>
        <w:spacing w:after="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</w:pPr>
      <w:r w:rsidRPr="0053420F">
        <w:rPr>
          <w:rFonts w:ascii="Times New Roman" w:hAnsi="Times New Roman" w:cs="Times New Roman"/>
          <w:color w:val="333333"/>
          <w:sz w:val="20"/>
          <w:szCs w:val="20"/>
        </w:rPr>
        <w:t>В случае</w:t>
      </w:r>
      <w:proofErr w:type="gramStart"/>
      <w:r w:rsidRPr="0053420F">
        <w:rPr>
          <w:rFonts w:ascii="Times New Roman" w:hAnsi="Times New Roman" w:cs="Times New Roman"/>
          <w:color w:val="333333"/>
          <w:sz w:val="20"/>
          <w:szCs w:val="20"/>
        </w:rPr>
        <w:t>,</w:t>
      </w:r>
      <w:proofErr w:type="gramEnd"/>
      <w:r w:rsidRPr="0053420F">
        <w:rPr>
          <w:rFonts w:ascii="Times New Roman" w:hAnsi="Times New Roman" w:cs="Times New Roman"/>
          <w:color w:val="333333"/>
          <w:sz w:val="20"/>
          <w:szCs w:val="20"/>
        </w:rPr>
        <w:t xml:space="preserve">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победителем торгов, является участник, предложивший максимальную цену за Имущество Должника.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53420F">
        <w:rPr>
          <w:rFonts w:ascii="Times New Roman" w:hAnsi="Times New Roman" w:cs="Times New Roman"/>
          <w:color w:val="333333"/>
          <w:sz w:val="20"/>
          <w:szCs w:val="20"/>
        </w:rPr>
        <w:t>В случае</w:t>
      </w:r>
      <w:proofErr w:type="gramStart"/>
      <w:r w:rsidRPr="0053420F">
        <w:rPr>
          <w:rFonts w:ascii="Times New Roman" w:hAnsi="Times New Roman" w:cs="Times New Roman"/>
          <w:color w:val="333333"/>
          <w:sz w:val="20"/>
          <w:szCs w:val="20"/>
        </w:rPr>
        <w:t>,</w:t>
      </w:r>
      <w:proofErr w:type="gramEnd"/>
      <w:r w:rsidRPr="0053420F">
        <w:rPr>
          <w:rFonts w:ascii="Times New Roman" w:hAnsi="Times New Roman" w:cs="Times New Roman"/>
          <w:color w:val="333333"/>
          <w:sz w:val="20"/>
          <w:szCs w:val="20"/>
        </w:rPr>
        <w:t xml:space="preserve">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на участие в торгах по продаже </w:t>
      </w:r>
      <w:r w:rsidRPr="0053420F">
        <w:rPr>
          <w:rFonts w:ascii="Times New Roman" w:hAnsi="Times New Roman" w:cs="Times New Roman"/>
          <w:color w:val="333333"/>
          <w:sz w:val="20"/>
          <w:szCs w:val="20"/>
        </w:rPr>
        <w:t>Имущества Должника посредством публичного предложения.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53420F">
        <w:rPr>
          <w:rFonts w:ascii="Times New Roman" w:hAnsi="Times New Roman" w:cs="Times New Roman"/>
          <w:color w:val="333333"/>
          <w:sz w:val="20"/>
          <w:szCs w:val="20"/>
        </w:rPr>
        <w:t xml:space="preserve">Победитель торгов в течение 5 (пяти) календарных дней </w:t>
      </w:r>
      <w:proofErr w:type="gramStart"/>
      <w:r w:rsidRPr="0053420F">
        <w:rPr>
          <w:rFonts w:ascii="Times New Roman" w:hAnsi="Times New Roman" w:cs="Times New Roman"/>
          <w:color w:val="333333"/>
          <w:sz w:val="20"/>
          <w:szCs w:val="20"/>
        </w:rPr>
        <w:t>с даты получения</w:t>
      </w:r>
      <w:proofErr w:type="gramEnd"/>
      <w:r w:rsidRPr="0053420F">
        <w:rPr>
          <w:rFonts w:ascii="Times New Roman" w:hAnsi="Times New Roman" w:cs="Times New Roman"/>
          <w:color w:val="333333"/>
          <w:sz w:val="20"/>
          <w:szCs w:val="20"/>
        </w:rPr>
        <w:t xml:space="preserve"> предложения Арбитражного управляющего о заключении договора купли-продажи обязан подписать договор купли-продажи Имущества. В случае отказа или уклонения победителя торгов от подписания указанного договора, внесенный задаток ему не возвращается.</w:t>
      </w:r>
    </w:p>
    <w:p w:rsidR="0053420F" w:rsidRPr="0053420F" w:rsidRDefault="0053420F" w:rsidP="0053420F">
      <w:pPr>
        <w:spacing w:after="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</w:pPr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В случае отказа/уклонения победителя торгов от подписания Протокола о результатах проведения торгов/договора купли-продажи внесенный задаток ему не возвращается.</w:t>
      </w:r>
      <w:r w:rsidRPr="0053420F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Расходы по регистрации перехода права собственности несет Покупатель. По вопросам ознакомления с документацией к продаваемому имуществу, условиями договора купли-продажи, а также по всем вопросам, связанными с условиями проведения аукциона, и иными сведениями и документами обращаться к Организатору торгов, адрес для направления корреспонденции 693000, Сахалинская область, г. Южно-Сахалинск, ул. Ленина д. 220, а/я 223, </w:t>
      </w:r>
      <w:proofErr w:type="spellStart"/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конт</w:t>
      </w:r>
      <w:proofErr w:type="spellEnd"/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. тел. +79147595087, </w:t>
      </w:r>
      <w:proofErr w:type="gramStart"/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Е</w:t>
      </w:r>
      <w:proofErr w:type="gramEnd"/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-</w:t>
      </w:r>
      <w:proofErr w:type="spellStart"/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>mail</w:t>
      </w:r>
      <w:proofErr w:type="spellEnd"/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: </w:t>
      </w:r>
      <w:hyperlink r:id="rId5" w:history="1">
        <w:r w:rsidRPr="0053420F">
          <w:rPr>
            <w:rStyle w:val="a3"/>
            <w:rFonts w:ascii="Times New Roman" w:hAnsi="Times New Roman" w:cs="Times New Roman"/>
            <w:sz w:val="20"/>
            <w:szCs w:val="20"/>
            <w:shd w:val="clear" w:color="auto" w:fill="EAF1F7"/>
          </w:rPr>
          <w:t>kymakarova@yandex.ru</w:t>
        </w:r>
      </w:hyperlink>
      <w:r w:rsidRPr="0053420F">
        <w:rPr>
          <w:rFonts w:ascii="Times New Roman" w:hAnsi="Times New Roman" w:cs="Times New Roman"/>
          <w:color w:val="333333"/>
          <w:sz w:val="20"/>
          <w:szCs w:val="20"/>
          <w:shd w:val="clear" w:color="auto" w:fill="EAF1F7"/>
        </w:rPr>
        <w:t xml:space="preserve">. </w:t>
      </w:r>
    </w:p>
    <w:p w:rsidR="0053420F" w:rsidRDefault="0053420F">
      <w:pPr>
        <w:rPr>
          <w:rFonts w:ascii="Tahoma" w:hAnsi="Tahoma" w:cs="Tahoma"/>
          <w:color w:val="333333"/>
          <w:sz w:val="17"/>
          <w:szCs w:val="17"/>
          <w:shd w:val="clear" w:color="auto" w:fill="EAF1F7"/>
        </w:rPr>
      </w:pPr>
    </w:p>
    <w:p w:rsidR="0053420F" w:rsidRDefault="0053420F">
      <w:pPr>
        <w:rPr>
          <w:rFonts w:ascii="Tahoma" w:hAnsi="Tahoma" w:cs="Tahoma"/>
          <w:color w:val="333333"/>
          <w:sz w:val="17"/>
          <w:szCs w:val="17"/>
          <w:shd w:val="clear" w:color="auto" w:fill="EAF1F7"/>
        </w:rPr>
      </w:pPr>
    </w:p>
    <w:p w:rsidR="0053420F" w:rsidRDefault="0053420F">
      <w:pPr>
        <w:rPr>
          <w:rFonts w:ascii="Tahoma" w:hAnsi="Tahoma" w:cs="Tahoma"/>
          <w:color w:val="333333"/>
          <w:sz w:val="17"/>
          <w:szCs w:val="17"/>
          <w:shd w:val="clear" w:color="auto" w:fill="EAF1F7"/>
        </w:rPr>
      </w:pPr>
      <w:bookmarkStart w:id="0" w:name="_GoBack"/>
      <w:bookmarkEnd w:id="0"/>
    </w:p>
    <w:p w:rsidR="00964FA4" w:rsidRDefault="00964FA4">
      <w:pPr>
        <w:rPr>
          <w:rFonts w:ascii="Tahoma" w:hAnsi="Tahoma" w:cs="Tahoma"/>
          <w:color w:val="333333"/>
          <w:sz w:val="17"/>
          <w:szCs w:val="17"/>
          <w:shd w:val="clear" w:color="auto" w:fill="EAF1F7"/>
        </w:rPr>
      </w:pPr>
    </w:p>
    <w:sectPr w:rsidR="0096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96"/>
    <w:rsid w:val="001078B6"/>
    <w:rsid w:val="00174863"/>
    <w:rsid w:val="0053420F"/>
    <w:rsid w:val="00703E8C"/>
    <w:rsid w:val="00964FA4"/>
    <w:rsid w:val="00EB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F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ymakar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2022-02-28T02:40:00Z</dcterms:created>
  <dcterms:modified xsi:type="dcterms:W3CDTF">2022-02-28T02:40:00Z</dcterms:modified>
</cp:coreProperties>
</file>