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308E8D61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3511C1">
        <w:rPr>
          <w:rFonts w:eastAsia="Times New Roman" w:cs="Times New Roman"/>
          <w:b/>
          <w:bCs/>
          <w:lang w:eastAsia="ru-RU"/>
        </w:rPr>
        <w:t>18 апреля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7A8E1D6C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3511C1">
        <w:rPr>
          <w:rFonts w:eastAsia="Times New Roman" w:cs="Times New Roman"/>
          <w:b/>
          <w:bCs/>
          <w:lang w:eastAsia="ru-RU"/>
        </w:rPr>
        <w:t>19</w:t>
      </w:r>
      <w:r w:rsidR="00405E58">
        <w:rPr>
          <w:rFonts w:eastAsia="Times New Roman" w:cs="Times New Roman"/>
          <w:b/>
          <w:bCs/>
          <w:lang w:eastAsia="ru-RU"/>
        </w:rPr>
        <w:t>.0</w:t>
      </w:r>
      <w:r w:rsidR="003511C1">
        <w:rPr>
          <w:rFonts w:eastAsia="Times New Roman" w:cs="Times New Roman"/>
          <w:b/>
          <w:bCs/>
          <w:lang w:eastAsia="ru-RU"/>
        </w:rPr>
        <w:t>3</w:t>
      </w:r>
      <w:r w:rsidR="00405E58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405E58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3511C1">
        <w:rPr>
          <w:rFonts w:eastAsia="Times New Roman" w:cs="Times New Roman"/>
          <w:b/>
          <w:bCs/>
          <w:lang w:eastAsia="ru-RU"/>
        </w:rPr>
        <w:t>1</w:t>
      </w:r>
      <w:r w:rsidR="00405E58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1D4281">
        <w:rPr>
          <w:rFonts w:eastAsia="Times New Roman" w:cs="Times New Roman"/>
          <w:b/>
          <w:bCs/>
          <w:lang w:eastAsia="ru-RU"/>
        </w:rPr>
        <w:t>0</w:t>
      </w:r>
      <w:r w:rsidR="003511C1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700E5AAF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3511C1">
        <w:rPr>
          <w:rFonts w:eastAsia="Times New Roman" w:cs="Times New Roman"/>
          <w:b/>
          <w:bCs/>
          <w:lang w:eastAsia="ru-RU"/>
        </w:rPr>
        <w:t>1</w:t>
      </w:r>
      <w:r w:rsidR="00405E58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1D4281">
        <w:rPr>
          <w:rFonts w:eastAsia="Times New Roman" w:cs="Times New Roman"/>
          <w:b/>
          <w:bCs/>
          <w:lang w:eastAsia="ru-RU"/>
        </w:rPr>
        <w:t>0</w:t>
      </w:r>
      <w:r w:rsidR="003511C1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0F5C51C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3511C1">
        <w:rPr>
          <w:rFonts w:eastAsia="Times New Roman" w:cs="Times New Roman"/>
          <w:b/>
          <w:bCs/>
          <w:lang w:eastAsia="ru-RU"/>
        </w:rPr>
        <w:t>1</w:t>
      </w:r>
      <w:r w:rsidR="00405E58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1D4281">
        <w:rPr>
          <w:rFonts w:eastAsia="Times New Roman" w:cs="Times New Roman"/>
          <w:b/>
          <w:bCs/>
          <w:lang w:eastAsia="ru-RU"/>
        </w:rPr>
        <w:t>0</w:t>
      </w:r>
      <w:r w:rsidR="003511C1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12B226CC" w:rsidR="00D93F46" w:rsidRPr="00D43C0C" w:rsidRDefault="00D93F46" w:rsidP="003511C1">
      <w:pPr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34D75BCA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3511C1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2064907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F56CF0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F56CF0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4CACC010" w14:textId="6DD488FD" w:rsidR="005734E1" w:rsidRPr="00EE3E4F" w:rsidRDefault="00F56CF0" w:rsidP="005734E1">
      <w:pPr>
        <w:jc w:val="both"/>
        <w:rPr>
          <w:rFonts w:cs="Times New Roman"/>
          <w:kern w:val="2"/>
        </w:rPr>
      </w:pPr>
      <w:bookmarkStart w:id="0" w:name="_Hlk66874178"/>
      <w:r>
        <w:rPr>
          <w:rFonts w:cs="Times New Roman"/>
          <w:kern w:val="2"/>
        </w:rPr>
        <w:t xml:space="preserve">Объект 1: </w:t>
      </w:r>
      <w:r w:rsidR="00EE3E4F">
        <w:rPr>
          <w:rFonts w:cs="Times New Roman"/>
          <w:kern w:val="2"/>
        </w:rPr>
        <w:t>К</w:t>
      </w:r>
      <w:r w:rsidR="00EE3E4F" w:rsidRPr="00EE3E4F">
        <w:rPr>
          <w:rFonts w:cs="Times New Roman"/>
          <w:kern w:val="2"/>
        </w:rPr>
        <w:t xml:space="preserve">ирпичный гараж, площадь: 48,4 кв. м, количество этажей: 1, расположенный по адресу: Волгоградская обл., Руднянский район, </w:t>
      </w:r>
      <w:proofErr w:type="spellStart"/>
      <w:r w:rsidR="00EE3E4F" w:rsidRPr="00EE3E4F">
        <w:rPr>
          <w:rFonts w:cs="Times New Roman"/>
          <w:kern w:val="2"/>
        </w:rPr>
        <w:t>р.п</w:t>
      </w:r>
      <w:proofErr w:type="spellEnd"/>
      <w:r w:rsidR="00EE3E4F" w:rsidRPr="00EE3E4F">
        <w:rPr>
          <w:rFonts w:cs="Times New Roman"/>
          <w:kern w:val="2"/>
        </w:rPr>
        <w:t>. Рудня, ул. Коммунистическая, инв.№271, кадастровый номер 34:25:010145:188;</w:t>
      </w:r>
    </w:p>
    <w:p w14:paraId="38E7A071" w14:textId="4C3D75F8" w:rsidR="00EE3E4F" w:rsidRPr="00EE3E4F" w:rsidRDefault="00EE3E4F" w:rsidP="005734E1">
      <w:pPr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Объект 2: З</w:t>
      </w:r>
      <w:r w:rsidRPr="00EE3E4F">
        <w:rPr>
          <w:rFonts w:cs="Times New Roman"/>
          <w:kern w:val="2"/>
        </w:rPr>
        <w:t xml:space="preserve">емельный участок, площадь: 69 кв. м, категория земель: земли населенных пунктов, разрешенное использование: для эксплуатации гаража, расположенный по адресу: Волгоградская обл., Руднянский район, </w:t>
      </w:r>
      <w:proofErr w:type="spellStart"/>
      <w:r w:rsidRPr="00EE3E4F">
        <w:rPr>
          <w:rFonts w:cs="Times New Roman"/>
          <w:kern w:val="2"/>
        </w:rPr>
        <w:t>р.п</w:t>
      </w:r>
      <w:proofErr w:type="spellEnd"/>
      <w:r w:rsidRPr="00EE3E4F">
        <w:rPr>
          <w:rFonts w:cs="Times New Roman"/>
          <w:kern w:val="2"/>
        </w:rPr>
        <w:t>. Рудня, ул. Коммунистическая, кадастровый номер 34:25:010143:24</w:t>
      </w:r>
    </w:p>
    <w:bookmarkEnd w:id="0"/>
    <w:p w14:paraId="71B0897A" w14:textId="77777777" w:rsidR="00346B6A" w:rsidRDefault="00346B6A" w:rsidP="005734E1">
      <w:pPr>
        <w:jc w:val="both"/>
        <w:rPr>
          <w:rFonts w:cs="Times New Roman"/>
        </w:rPr>
      </w:pPr>
    </w:p>
    <w:p w14:paraId="7F2D11B2" w14:textId="463FCB05" w:rsidR="006C63EE" w:rsidRPr="006C63EE" w:rsidRDefault="006C63EE" w:rsidP="006C63EE">
      <w:pPr>
        <w:jc w:val="center"/>
        <w:rPr>
          <w:b/>
          <w:bCs/>
          <w:kern w:val="2"/>
        </w:rPr>
      </w:pPr>
      <w:r w:rsidRPr="006C63EE">
        <w:rPr>
          <w:b/>
          <w:bCs/>
          <w:kern w:val="2"/>
        </w:rPr>
        <w:t xml:space="preserve">Начальная цена Лота №1 – </w:t>
      </w:r>
      <w:r w:rsidR="00405E58">
        <w:rPr>
          <w:b/>
          <w:bCs/>
          <w:kern w:val="2"/>
        </w:rPr>
        <w:t>24</w:t>
      </w:r>
      <w:r w:rsidR="008D1AEC">
        <w:rPr>
          <w:b/>
          <w:bCs/>
          <w:kern w:val="2"/>
        </w:rPr>
        <w:t>0 000</w:t>
      </w:r>
      <w:r w:rsidRPr="006C63EE">
        <w:rPr>
          <w:b/>
          <w:bCs/>
          <w:kern w:val="2"/>
        </w:rPr>
        <w:t xml:space="preserve"> руб., с учетом НДС 20%, в том числе:</w:t>
      </w:r>
    </w:p>
    <w:p w14:paraId="7F0CD208" w14:textId="5D05D5B3" w:rsidR="006C63EE" w:rsidRPr="006C63EE" w:rsidRDefault="006C63EE" w:rsidP="006C63EE">
      <w:pPr>
        <w:jc w:val="center"/>
        <w:rPr>
          <w:b/>
          <w:bCs/>
          <w:kern w:val="2"/>
        </w:rPr>
      </w:pPr>
      <w:r w:rsidRPr="006C63EE">
        <w:rPr>
          <w:b/>
          <w:bCs/>
          <w:kern w:val="2"/>
        </w:rPr>
        <w:t xml:space="preserve">Начальная цена Объекта 1 – </w:t>
      </w:r>
      <w:r w:rsidR="008D1AEC">
        <w:rPr>
          <w:b/>
          <w:bCs/>
          <w:kern w:val="2"/>
        </w:rPr>
        <w:t>1</w:t>
      </w:r>
      <w:r w:rsidR="00405E58">
        <w:rPr>
          <w:b/>
          <w:bCs/>
          <w:kern w:val="2"/>
        </w:rPr>
        <w:t>12</w:t>
      </w:r>
      <w:r w:rsidR="008D1AEC">
        <w:rPr>
          <w:b/>
          <w:bCs/>
          <w:kern w:val="2"/>
        </w:rPr>
        <w:t xml:space="preserve"> 000</w:t>
      </w:r>
      <w:r w:rsidRPr="006C63EE">
        <w:rPr>
          <w:b/>
          <w:bCs/>
          <w:kern w:val="2"/>
        </w:rPr>
        <w:t xml:space="preserve"> руб., включая НДС 20%.</w:t>
      </w:r>
    </w:p>
    <w:p w14:paraId="6262AE74" w14:textId="262DF780" w:rsidR="006C63EE" w:rsidRDefault="006C63EE" w:rsidP="006C63EE">
      <w:pPr>
        <w:jc w:val="center"/>
        <w:rPr>
          <w:b/>
          <w:bCs/>
          <w:kern w:val="2"/>
        </w:rPr>
      </w:pPr>
      <w:r w:rsidRPr="006C63EE">
        <w:rPr>
          <w:b/>
          <w:bCs/>
          <w:kern w:val="2"/>
        </w:rPr>
        <w:t xml:space="preserve">Начальная цена Объекта </w:t>
      </w:r>
      <w:r w:rsidR="00C42A2E">
        <w:rPr>
          <w:b/>
          <w:bCs/>
          <w:kern w:val="2"/>
        </w:rPr>
        <w:t>2</w:t>
      </w:r>
      <w:r w:rsidRPr="006C63EE">
        <w:rPr>
          <w:b/>
          <w:bCs/>
          <w:kern w:val="2"/>
        </w:rPr>
        <w:t xml:space="preserve"> – </w:t>
      </w:r>
      <w:r w:rsidR="008D1AEC">
        <w:rPr>
          <w:b/>
          <w:bCs/>
          <w:kern w:val="2"/>
        </w:rPr>
        <w:t>1</w:t>
      </w:r>
      <w:r w:rsidR="00405E58">
        <w:rPr>
          <w:b/>
          <w:bCs/>
          <w:kern w:val="2"/>
        </w:rPr>
        <w:t>28</w:t>
      </w:r>
      <w:r w:rsidR="008D1AEC">
        <w:rPr>
          <w:b/>
          <w:bCs/>
          <w:kern w:val="2"/>
        </w:rPr>
        <w:t xml:space="preserve"> 000</w:t>
      </w:r>
      <w:r w:rsidRPr="006C63EE">
        <w:rPr>
          <w:b/>
          <w:bCs/>
          <w:kern w:val="2"/>
        </w:rPr>
        <w:t xml:space="preserve"> руб., НДС не облагается.</w:t>
      </w:r>
    </w:p>
    <w:p w14:paraId="486F6C9B" w14:textId="49737A63" w:rsidR="003511C1" w:rsidRPr="003511C1" w:rsidRDefault="003511C1" w:rsidP="003511C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Миним</w:t>
      </w:r>
      <w:r w:rsidRPr="003511C1">
        <w:rPr>
          <w:b/>
          <w:bCs/>
          <w:kern w:val="2"/>
        </w:rPr>
        <w:t xml:space="preserve">альная цена Лота №1 – </w:t>
      </w:r>
      <w:r w:rsidR="009B4D81">
        <w:rPr>
          <w:b/>
          <w:bCs/>
          <w:kern w:val="2"/>
        </w:rPr>
        <w:t>18</w:t>
      </w:r>
      <w:r w:rsidRPr="003511C1">
        <w:rPr>
          <w:b/>
          <w:bCs/>
          <w:kern w:val="2"/>
        </w:rPr>
        <w:t>0 000 руб., с учетом НДС 20%, в том числе:</w:t>
      </w:r>
    </w:p>
    <w:p w14:paraId="75A64581" w14:textId="7FBBDBAC" w:rsidR="003511C1" w:rsidRPr="003511C1" w:rsidRDefault="003511C1" w:rsidP="003511C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Миним</w:t>
      </w:r>
      <w:r w:rsidRPr="003511C1">
        <w:rPr>
          <w:b/>
          <w:bCs/>
          <w:kern w:val="2"/>
        </w:rPr>
        <w:t xml:space="preserve">альная цена Объекта 1 – </w:t>
      </w:r>
      <w:r w:rsidR="009B4D81">
        <w:rPr>
          <w:b/>
          <w:bCs/>
          <w:kern w:val="2"/>
        </w:rPr>
        <w:t>84</w:t>
      </w:r>
      <w:r w:rsidRPr="003511C1">
        <w:rPr>
          <w:b/>
          <w:bCs/>
          <w:kern w:val="2"/>
        </w:rPr>
        <w:t xml:space="preserve"> 000 руб., включая НДС 20%.</w:t>
      </w:r>
    </w:p>
    <w:p w14:paraId="1407FF8D" w14:textId="0F7DF81A" w:rsidR="003511C1" w:rsidRDefault="003511C1" w:rsidP="003511C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Миним</w:t>
      </w:r>
      <w:r w:rsidRPr="003511C1">
        <w:rPr>
          <w:b/>
          <w:bCs/>
          <w:kern w:val="2"/>
        </w:rPr>
        <w:t xml:space="preserve">альная цена Объекта 2 – </w:t>
      </w:r>
      <w:r w:rsidR="009B4D81">
        <w:rPr>
          <w:b/>
          <w:bCs/>
          <w:kern w:val="2"/>
        </w:rPr>
        <w:t>96</w:t>
      </w:r>
      <w:r w:rsidRPr="003511C1">
        <w:rPr>
          <w:b/>
          <w:bCs/>
          <w:kern w:val="2"/>
        </w:rPr>
        <w:t xml:space="preserve"> 000 руб., НДС не облагается.</w:t>
      </w:r>
    </w:p>
    <w:p w14:paraId="1EF525B6" w14:textId="04AC6B88" w:rsidR="005734E1" w:rsidRDefault="005734E1" w:rsidP="003511C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Сумма задатка – </w:t>
      </w:r>
      <w:r w:rsidR="009B4D81">
        <w:rPr>
          <w:b/>
          <w:bCs/>
          <w:kern w:val="2"/>
        </w:rPr>
        <w:t>18</w:t>
      </w:r>
      <w:r w:rsidR="008D1AEC">
        <w:rPr>
          <w:b/>
          <w:bCs/>
          <w:kern w:val="2"/>
        </w:rPr>
        <w:t xml:space="preserve"> 000</w:t>
      </w:r>
      <w:r>
        <w:rPr>
          <w:b/>
          <w:bCs/>
          <w:kern w:val="2"/>
        </w:rPr>
        <w:t xml:space="preserve"> руб.</w:t>
      </w:r>
    </w:p>
    <w:p w14:paraId="3DB47A07" w14:textId="6472D309" w:rsidR="005734E1" w:rsidRDefault="005734E1" w:rsidP="00F00816">
      <w:pPr>
        <w:jc w:val="center"/>
        <w:rPr>
          <w:b/>
          <w:bCs/>
          <w:kern w:val="2"/>
        </w:rPr>
      </w:pPr>
      <w:bookmarkStart w:id="1" w:name="_Hlk72766209"/>
      <w:r>
        <w:rPr>
          <w:b/>
          <w:bCs/>
          <w:kern w:val="2"/>
        </w:rPr>
        <w:t>Шаг аукциона</w:t>
      </w:r>
      <w:r w:rsidR="00F00816">
        <w:rPr>
          <w:b/>
          <w:bCs/>
          <w:kern w:val="2"/>
        </w:rPr>
        <w:t xml:space="preserve"> </w:t>
      </w:r>
      <w:r w:rsidR="003511C1">
        <w:rPr>
          <w:b/>
          <w:bCs/>
          <w:kern w:val="2"/>
        </w:rPr>
        <w:t xml:space="preserve">на повышение </w:t>
      </w:r>
      <w:r>
        <w:rPr>
          <w:b/>
          <w:bCs/>
          <w:kern w:val="2"/>
        </w:rPr>
        <w:t xml:space="preserve">– </w:t>
      </w:r>
      <w:r w:rsidR="009B4D81">
        <w:rPr>
          <w:b/>
          <w:bCs/>
          <w:kern w:val="2"/>
        </w:rPr>
        <w:t>6</w:t>
      </w:r>
      <w:r w:rsidR="008D1AEC">
        <w:rPr>
          <w:b/>
          <w:bCs/>
          <w:kern w:val="2"/>
        </w:rPr>
        <w:t xml:space="preserve"> 000</w:t>
      </w:r>
      <w:r>
        <w:rPr>
          <w:b/>
          <w:bCs/>
          <w:kern w:val="2"/>
        </w:rPr>
        <w:t xml:space="preserve"> руб.</w:t>
      </w:r>
    </w:p>
    <w:p w14:paraId="11065777" w14:textId="041149F5" w:rsidR="003511C1" w:rsidRDefault="003511C1" w:rsidP="003511C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Шаг аукциона на понижение – 12 000 руб.</w:t>
      </w:r>
    </w:p>
    <w:bookmarkEnd w:id="1"/>
    <w:p w14:paraId="20AA9A57" w14:textId="77777777" w:rsidR="005734E1" w:rsidRDefault="005734E1" w:rsidP="005734E1">
      <w:pPr>
        <w:jc w:val="center"/>
        <w:rPr>
          <w:b/>
          <w:bCs/>
          <w:kern w:val="2"/>
        </w:rPr>
      </w:pPr>
    </w:p>
    <w:p w14:paraId="518EC3C1" w14:textId="105C05A1" w:rsidR="00D93F46" w:rsidRDefault="005734E1" w:rsidP="005734E1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6C63E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никому не продан</w:t>
      </w:r>
      <w:r w:rsidR="006C63E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>, не явля</w:t>
      </w:r>
      <w:r w:rsidR="006C63EE">
        <w:rPr>
          <w:color w:val="000000"/>
          <w:kern w:val="2"/>
          <w:shd w:val="clear" w:color="auto" w:fill="FFFFFF"/>
        </w:rPr>
        <w:t>ю</w:t>
      </w:r>
      <w:r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6C63EE">
        <w:rPr>
          <w:color w:val="000000"/>
          <w:kern w:val="2"/>
          <w:shd w:val="clear" w:color="auto" w:fill="FFFFFF"/>
        </w:rPr>
        <w:t>я</w:t>
      </w:r>
      <w:r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6C63E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1F62D7" w:rsidRPr="001F62D7">
        <w:rPr>
          <w:color w:val="000000"/>
          <w:kern w:val="2"/>
          <w:shd w:val="clear" w:color="auto" w:fill="FFFFFF"/>
        </w:rPr>
        <w:t>, кроме следующего ограничения (обременения): действующего Контракта аренды недвижимого имущества № 240 от 01.08.2021г., заключенного с Центром ПФР №1 по установлению пенсий в Волгоградской области, площадь 48,4 кв. м, ежемесячная арендная плата составляет 3 140 (Три тысячи сто сорок) рублей 68 копеек, в том числе НДС 20%, срок аренды по 30.06.2022 г.</w:t>
      </w:r>
    </w:p>
    <w:p w14:paraId="3D6F6909" w14:textId="50F19047" w:rsidR="00143C0F" w:rsidRDefault="00143C0F" w:rsidP="00143C0F">
      <w:pPr>
        <w:rPr>
          <w:b/>
        </w:rPr>
      </w:pPr>
    </w:p>
    <w:p w14:paraId="1BA09AE5" w14:textId="7C23D0BF" w:rsidR="00043F9D" w:rsidRDefault="006C63EE" w:rsidP="005734E1">
      <w:pPr>
        <w:ind w:right="-57" w:firstLine="708"/>
        <w:jc w:val="both"/>
        <w:rPr>
          <w:b/>
        </w:rPr>
      </w:pPr>
      <w:r w:rsidRPr="006C63EE">
        <w:rPr>
          <w:b/>
        </w:rPr>
        <w:t>Телефоны для справок: 8 (800) 777-57-57, +7 (846) 248-21-43, +7 (846) 248-15-34.</w:t>
      </w:r>
    </w:p>
    <w:p w14:paraId="050C26C0" w14:textId="77777777" w:rsidR="006C63EE" w:rsidRDefault="006C63EE" w:rsidP="005734E1">
      <w:pPr>
        <w:ind w:right="-57" w:firstLine="708"/>
        <w:jc w:val="both"/>
        <w:rPr>
          <w:bCs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0073D844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773C4C97" w14:textId="276F9E55" w:rsidR="003B7CE7" w:rsidRDefault="003B7CE7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019ED79" w14:textId="77777777" w:rsidR="00BE2489" w:rsidRDefault="00BE2489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lastRenderedPageBreak/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6C63EE">
      <w:pPr>
        <w:widowControl/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6C63E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4860FAD0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EE3E4F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8E051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1E655849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5F533D4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  <w:r w:rsidR="003B7CE7">
        <w:rPr>
          <w:rFonts w:eastAsia="Times New Roman" w:cs="Times New Roman"/>
          <w:lang w:eastAsia="ru-RU"/>
        </w:rPr>
        <w:t>.</w:t>
      </w:r>
    </w:p>
    <w:p w14:paraId="6A230D94" w14:textId="77777777" w:rsidR="00020798" w:rsidRPr="001853CA" w:rsidRDefault="00020798" w:rsidP="00020798">
      <w:pPr>
        <w:ind w:firstLine="540"/>
        <w:jc w:val="both"/>
        <w:rPr>
          <w:rFonts w:eastAsia="Times New Roman"/>
          <w:u w:val="single"/>
          <w:lang w:eastAsia="ru-RU"/>
        </w:rPr>
      </w:pPr>
      <w:r w:rsidRPr="006C0F97">
        <w:rPr>
          <w:rFonts w:eastAsia="Times New Roman"/>
          <w:b/>
          <w:bCs/>
          <w:u w:val="single"/>
          <w:lang w:eastAsia="ru-RU"/>
        </w:rPr>
        <w:t>К участию в торгах не допускаются лица</w:t>
      </w:r>
      <w:r w:rsidRPr="001853CA">
        <w:rPr>
          <w:rFonts w:eastAsia="Times New Roman"/>
          <w:u w:val="single"/>
          <w:lang w:eastAsia="ru-RU"/>
        </w:rPr>
        <w:t xml:space="preserve">, указанные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</w:t>
      </w:r>
      <w:r w:rsidRPr="001853CA">
        <w:rPr>
          <w:rFonts w:eastAsia="Times New Roman"/>
          <w:u w:val="single"/>
          <w:lang w:eastAsia="ru-RU"/>
        </w:rPr>
        <w:lastRenderedPageBreak/>
        <w:t>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DCCD3DC" w14:textId="77777777" w:rsidR="00020798" w:rsidRPr="001853CA" w:rsidRDefault="00020798" w:rsidP="00020798">
      <w:pPr>
        <w:ind w:firstLine="540"/>
        <w:jc w:val="both"/>
        <w:rPr>
          <w:rFonts w:eastAsia="Times New Roman"/>
          <w:u w:val="single"/>
          <w:lang w:eastAsia="ru-RU"/>
        </w:rPr>
      </w:pPr>
      <w:r w:rsidRPr="006C0F97">
        <w:rPr>
          <w:rFonts w:eastAsia="Times New Roman"/>
          <w:b/>
          <w:bCs/>
          <w:u w:val="single"/>
          <w:lang w:eastAsia="ru-RU"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Pr="001853CA">
        <w:rPr>
          <w:rFonts w:eastAsia="Times New Roman"/>
          <w:u w:val="single"/>
          <w:lang w:eastAsia="ru-RU"/>
        </w:rPr>
        <w:t xml:space="preserve">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15E88ABF" w14:textId="77777777" w:rsidR="00020798" w:rsidRPr="001853CA" w:rsidRDefault="00020798" w:rsidP="00020798">
      <w:pPr>
        <w:ind w:firstLine="540"/>
        <w:jc w:val="both"/>
        <w:rPr>
          <w:rFonts w:eastAsia="Times New Roman"/>
          <w:u w:val="single"/>
          <w:lang w:eastAsia="ru-RU"/>
        </w:rPr>
      </w:pPr>
      <w:r w:rsidRPr="001853CA">
        <w:rPr>
          <w:rFonts w:eastAsia="Times New Roman"/>
          <w:u w:val="single"/>
          <w:lang w:eastAsia="ru-RU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51F837A" w14:textId="77777777" w:rsidR="00020798" w:rsidRPr="001853CA" w:rsidRDefault="00020798" w:rsidP="00020798">
      <w:pPr>
        <w:ind w:firstLine="540"/>
        <w:jc w:val="both"/>
        <w:rPr>
          <w:rFonts w:eastAsia="Times New Roman"/>
          <w:b/>
          <w:bCs/>
          <w:u w:val="single"/>
          <w:lang w:eastAsia="ru-RU"/>
        </w:rPr>
      </w:pPr>
      <w:r w:rsidRPr="001853CA">
        <w:rPr>
          <w:rFonts w:eastAsia="Times New Roman"/>
          <w:b/>
          <w:bCs/>
          <w:u w:val="single"/>
          <w:lang w:eastAsia="ru-RU"/>
        </w:rPr>
        <w:t xml:space="preserve">Перечень документов, представляемый </w:t>
      </w:r>
      <w:r>
        <w:rPr>
          <w:rFonts w:eastAsia="Times New Roman"/>
          <w:b/>
          <w:bCs/>
          <w:u w:val="single"/>
          <w:lang w:eastAsia="ru-RU"/>
        </w:rPr>
        <w:t>П</w:t>
      </w:r>
      <w:r w:rsidRPr="001853CA">
        <w:rPr>
          <w:rFonts w:eastAsia="Times New Roman"/>
          <w:b/>
          <w:bCs/>
          <w:u w:val="single"/>
          <w:lang w:eastAsia="ru-RU"/>
        </w:rPr>
        <w:t>ретендентами в составе заявки должен быть дополнен:</w:t>
      </w:r>
    </w:p>
    <w:p w14:paraId="75039ABC" w14:textId="77777777" w:rsidR="00020798" w:rsidRPr="001853CA" w:rsidRDefault="00020798" w:rsidP="00020798">
      <w:pPr>
        <w:jc w:val="both"/>
        <w:rPr>
          <w:rFonts w:eastAsia="Times New Roman"/>
          <w:u w:val="single"/>
          <w:lang w:eastAsia="ru-RU"/>
        </w:rPr>
      </w:pPr>
      <w:r w:rsidRPr="001853CA">
        <w:rPr>
          <w:rFonts w:eastAsia="Times New Roman"/>
          <w:u w:val="single"/>
          <w:lang w:eastAsia="ru-RU"/>
        </w:rPr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6542013" w14:textId="77777777" w:rsidR="00020798" w:rsidRPr="001853CA" w:rsidRDefault="00020798" w:rsidP="00020798">
      <w:pPr>
        <w:jc w:val="both"/>
        <w:rPr>
          <w:rFonts w:eastAsia="Times New Roman"/>
          <w:u w:val="single"/>
          <w:lang w:eastAsia="ru-RU"/>
        </w:rPr>
      </w:pPr>
      <w:r w:rsidRPr="001853CA">
        <w:rPr>
          <w:rFonts w:eastAsia="Times New Roman"/>
          <w:u w:val="single"/>
          <w:lang w:eastAsia="ru-RU"/>
        </w:rPr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</w:t>
      </w:r>
    </w:p>
    <w:p w14:paraId="045F4376" w14:textId="77777777" w:rsidR="00020798" w:rsidRPr="001853CA" w:rsidRDefault="00020798" w:rsidP="00020798">
      <w:pPr>
        <w:jc w:val="both"/>
        <w:rPr>
          <w:rFonts w:eastAsia="Times New Roman"/>
          <w:kern w:val="2"/>
          <w:u w:val="single"/>
          <w:lang w:eastAsia="ru-RU"/>
        </w:rPr>
      </w:pPr>
      <w:r w:rsidRPr="001853CA">
        <w:rPr>
          <w:rFonts w:eastAsia="Times New Roman"/>
          <w:u w:val="single"/>
          <w:lang w:eastAsia="ru-RU"/>
        </w:rPr>
        <w:t>- заполненная анкета, приведенная в Приложении 1</w:t>
      </w:r>
      <w:r>
        <w:rPr>
          <w:rFonts w:eastAsia="Times New Roman"/>
          <w:u w:val="single"/>
          <w:lang w:eastAsia="ru-RU"/>
        </w:rPr>
        <w:t xml:space="preserve"> к настоящему информационному сообщению</w:t>
      </w:r>
      <w:r w:rsidRPr="001853CA">
        <w:rPr>
          <w:rFonts w:eastAsia="Times New Roman"/>
          <w:u w:val="single"/>
          <w:lang w:eastAsia="ru-RU"/>
        </w:rPr>
        <w:t>.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Задаток служит обеспечением исполнения обязательства победителя аукциона по заключению </w:t>
      </w:r>
      <w:r w:rsidRPr="006A29D9">
        <w:rPr>
          <w:rFonts w:eastAsia="Times New Roman" w:cs="Times New Roman"/>
          <w:lang w:eastAsia="ru-RU"/>
        </w:rPr>
        <w:lastRenderedPageBreak/>
        <w:t>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783A42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783A42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2FE71D2F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3511C1"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 w:rsidR="003511C1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 xml:space="preserve">Победителем электронного аукциона признается Участник торгов, предложивший </w:t>
      </w:r>
      <w:r w:rsidR="00E358AE" w:rsidRPr="00E358AE">
        <w:rPr>
          <w:rFonts w:eastAsia="Times New Roman" w:cs="Times New Roman"/>
          <w:b/>
          <w:lang w:eastAsia="ru-RU"/>
        </w:rPr>
        <w:lastRenderedPageBreak/>
        <w:t>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4AF52B34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5D3636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02ACFFB7" w14:textId="77777777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647F769D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0F6ED9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5A910D53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F56CF0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F56CF0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0B7D7418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</w:t>
      </w:r>
      <w:r w:rsidR="000F6ED9">
        <w:rPr>
          <w:rFonts w:eastAsia="Times New Roman" w:cs="Times New Roman"/>
          <w:bCs/>
          <w:lang w:eastAsia="ru-RU"/>
        </w:rPr>
        <w:t>ы</w:t>
      </w:r>
      <w:r w:rsidRPr="001E45C8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4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2CAD08A6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по </w:t>
      </w:r>
      <w:r w:rsidR="00020798">
        <w:rPr>
          <w:rFonts w:eastAsia="Times New Roman" w:cs="Times New Roman"/>
          <w:bCs/>
          <w:color w:val="000000"/>
          <w:lang w:eastAsia="ru-RU"/>
        </w:rPr>
        <w:t xml:space="preserve">минимальной </w:t>
      </w:r>
      <w:r w:rsidRPr="004F055E">
        <w:rPr>
          <w:rFonts w:eastAsia="Times New Roman" w:cs="Times New Roman"/>
          <w:bCs/>
          <w:color w:val="000000"/>
          <w:lang w:eastAsia="ru-RU"/>
        </w:rPr>
        <w:t>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50FAA570" w14:textId="77777777" w:rsidR="00020798" w:rsidRDefault="00020798" w:rsidP="0002079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</w:t>
      </w:r>
    </w:p>
    <w:p w14:paraId="3AA99E51" w14:textId="77777777" w:rsidR="00020798" w:rsidRPr="006A29D9" w:rsidRDefault="00020798" w:rsidP="00020798">
      <w:pPr>
        <w:jc w:val="both"/>
        <w:rPr>
          <w:shd w:val="clear" w:color="auto" w:fill="FFFFFF"/>
        </w:rPr>
      </w:pPr>
    </w:p>
    <w:p w14:paraId="230F36AC" w14:textId="77777777" w:rsidR="00020798" w:rsidRPr="00062A57" w:rsidRDefault="00020798" w:rsidP="00020798">
      <w:pPr>
        <w:ind w:right="-57"/>
        <w:jc w:val="right"/>
      </w:pPr>
      <w:r>
        <w:t>Приложение 1</w:t>
      </w:r>
    </w:p>
    <w:p w14:paraId="19B1357C" w14:textId="77777777" w:rsidR="00020798" w:rsidRPr="00BA790B" w:rsidRDefault="00020798" w:rsidP="00020798">
      <w:pPr>
        <w:jc w:val="center"/>
        <w:rPr>
          <w:rFonts w:cs="Times New Roman"/>
          <w:b/>
          <w:bCs/>
          <w:kern w:val="2"/>
          <w:u w:val="single"/>
        </w:rPr>
      </w:pPr>
      <w:r w:rsidRPr="00BA790B">
        <w:rPr>
          <w:rFonts w:cs="Times New Roman"/>
          <w:b/>
          <w:bCs/>
          <w:u w:val="single"/>
        </w:rPr>
        <w:t xml:space="preserve">Анкета претендента на участие в аукционе </w:t>
      </w:r>
    </w:p>
    <w:p w14:paraId="3E5D9716" w14:textId="77777777" w:rsidR="00020798" w:rsidRPr="00BA790B" w:rsidRDefault="00020798" w:rsidP="00020798">
      <w:pPr>
        <w:jc w:val="both"/>
        <w:rPr>
          <w:rFonts w:cs="Times New Roman"/>
        </w:rPr>
      </w:pPr>
    </w:p>
    <w:p w14:paraId="2779F3F2" w14:textId="77777777" w:rsidR="00020798" w:rsidRPr="00BA790B" w:rsidRDefault="00020798" w:rsidP="00020798">
      <w:pPr>
        <w:jc w:val="both"/>
        <w:rPr>
          <w:rFonts w:cs="Times New Roman"/>
          <w:i/>
          <w:iCs/>
        </w:rPr>
      </w:pPr>
      <w:r w:rsidRPr="00BA790B">
        <w:rPr>
          <w:rFonts w:cs="Times New Roman"/>
          <w:i/>
          <w:iCs/>
        </w:rPr>
        <w:t>Указываются данные претендента в соответствии с Заявкой.</w:t>
      </w:r>
    </w:p>
    <w:p w14:paraId="0C90534C" w14:textId="77777777" w:rsidR="00020798" w:rsidRPr="00BA790B" w:rsidRDefault="00020798" w:rsidP="00020798">
      <w:pPr>
        <w:jc w:val="both"/>
        <w:rPr>
          <w:rFonts w:cs="Times New Roman"/>
        </w:rPr>
      </w:pPr>
    </w:p>
    <w:p w14:paraId="17D84FEC" w14:textId="77777777" w:rsidR="00020798" w:rsidRPr="00BA790B" w:rsidRDefault="00020798" w:rsidP="00020798">
      <w:pPr>
        <w:jc w:val="both"/>
        <w:rPr>
          <w:rFonts w:cs="Times New Roman"/>
        </w:rPr>
      </w:pPr>
      <w:r w:rsidRPr="00BA790B">
        <w:rPr>
          <w:rFonts w:cs="Times New Roman"/>
        </w:rPr>
        <w:t>СООБЩАЮ СЛЕДУЮЩЕЕ: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476"/>
        <w:gridCol w:w="1750"/>
        <w:gridCol w:w="1582"/>
      </w:tblGrid>
      <w:tr w:rsidR="00020798" w:rsidRPr="00BA790B" w14:paraId="56318AD9" w14:textId="77777777" w:rsidTr="00E83DF8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4E2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t>№ п/п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C1F" w14:textId="77777777" w:rsidR="00020798" w:rsidRPr="00BA790B" w:rsidRDefault="00020798" w:rsidP="00E83DF8">
            <w:pPr>
              <w:jc w:val="center"/>
              <w:rPr>
                <w:rFonts w:cs="Times New Roman"/>
                <w:b/>
                <w:bCs/>
              </w:rPr>
            </w:pPr>
            <w:r w:rsidRPr="00BA790B">
              <w:rPr>
                <w:rFonts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24B" w14:textId="77777777" w:rsidR="00020798" w:rsidRPr="00BA790B" w:rsidRDefault="00020798" w:rsidP="00E83DF8">
            <w:pPr>
              <w:jc w:val="center"/>
              <w:rPr>
                <w:rFonts w:cs="Times New Roman"/>
                <w:b/>
                <w:bCs/>
              </w:rPr>
            </w:pPr>
            <w:r w:rsidRPr="00BA790B">
              <w:rPr>
                <w:rFonts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2A2" w14:textId="77777777" w:rsidR="00020798" w:rsidRPr="00BA790B" w:rsidRDefault="00020798" w:rsidP="00E83DF8">
            <w:pPr>
              <w:jc w:val="center"/>
              <w:rPr>
                <w:rFonts w:cs="Times New Roman"/>
                <w:b/>
                <w:bCs/>
              </w:rPr>
            </w:pPr>
            <w:r w:rsidRPr="00BA790B">
              <w:rPr>
                <w:rFonts w:cs="Times New Roman"/>
                <w:b/>
                <w:bCs/>
              </w:rPr>
              <w:t>Ответ «Нет»</w:t>
            </w:r>
          </w:p>
        </w:tc>
      </w:tr>
      <w:tr w:rsidR="00020798" w:rsidRPr="00BA790B" w14:paraId="5921E9A7" w14:textId="77777777" w:rsidTr="00E83DF8">
        <w:trPr>
          <w:trHeight w:val="40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7F0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t>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B9C" w14:textId="77777777" w:rsidR="00020798" w:rsidRPr="00BA790B" w:rsidRDefault="00020798" w:rsidP="00E83DF8">
            <w:pPr>
              <w:jc w:val="both"/>
              <w:rPr>
                <w:rFonts w:cs="Times New Roman"/>
              </w:rPr>
            </w:pPr>
            <w:r w:rsidRPr="00BA790B">
              <w:rPr>
                <w:rFonts w:cs="Times New Roman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F51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2C7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sym w:font="Wingdings 2" w:char="F0A3"/>
            </w:r>
          </w:p>
        </w:tc>
      </w:tr>
      <w:tr w:rsidR="00020798" w:rsidRPr="00BA790B" w14:paraId="1EA42308" w14:textId="77777777" w:rsidTr="00E83DF8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1F3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t>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86D" w14:textId="77777777" w:rsidR="00020798" w:rsidRPr="00BA790B" w:rsidRDefault="00020798" w:rsidP="00E83DF8">
            <w:pPr>
              <w:jc w:val="both"/>
              <w:rPr>
                <w:rFonts w:cs="Times New Roman"/>
              </w:rPr>
            </w:pPr>
            <w:r w:rsidRPr="00BA790B">
              <w:rPr>
                <w:rFonts w:cs="Times New Roman"/>
              </w:rPr>
              <w:t xml:space="preserve">Является ли местом Вашей регистрации государства, включенные в перечень, утвержденный распоряжением </w:t>
            </w:r>
            <w:r w:rsidRPr="00BA790B">
              <w:rPr>
                <w:rFonts w:cs="Times New Roman"/>
              </w:rPr>
              <w:lastRenderedPageBreak/>
              <w:t>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3CB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lastRenderedPageBreak/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8E0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sym w:font="Wingdings 2" w:char="F0A3"/>
            </w:r>
          </w:p>
        </w:tc>
      </w:tr>
      <w:tr w:rsidR="00020798" w:rsidRPr="00BA790B" w14:paraId="01154F23" w14:textId="77777777" w:rsidTr="00E83DF8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297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t>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5AC" w14:textId="77777777" w:rsidR="00020798" w:rsidRPr="00BA790B" w:rsidRDefault="00020798" w:rsidP="00E83DF8">
            <w:pPr>
              <w:jc w:val="both"/>
              <w:rPr>
                <w:rFonts w:cs="Times New Roman"/>
              </w:rPr>
            </w:pPr>
            <w:r w:rsidRPr="00BA790B">
              <w:rPr>
                <w:rFonts w:cs="Times New Roman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7E1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7E6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sym w:font="Wingdings 2" w:char="F0A3"/>
            </w:r>
          </w:p>
        </w:tc>
      </w:tr>
      <w:tr w:rsidR="00020798" w:rsidRPr="00BA790B" w14:paraId="3F5D59EF" w14:textId="77777777" w:rsidTr="00E83DF8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741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t>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288" w14:textId="77777777" w:rsidR="00020798" w:rsidRPr="00BA790B" w:rsidRDefault="00020798" w:rsidP="00E83DF8">
            <w:pPr>
              <w:jc w:val="both"/>
              <w:rPr>
                <w:rFonts w:cs="Times New Roman"/>
              </w:rPr>
            </w:pPr>
            <w:r w:rsidRPr="00BA790B">
              <w:rPr>
                <w:rFonts w:cs="Times New Roman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27428930" w14:textId="77777777" w:rsidR="00020798" w:rsidRPr="00BA790B" w:rsidRDefault="00020798" w:rsidP="00E83DF8">
            <w:pPr>
              <w:jc w:val="both"/>
              <w:rPr>
                <w:rFonts w:cs="Times New Roman"/>
              </w:rPr>
            </w:pPr>
            <w:r w:rsidRPr="00BA790B">
              <w:rPr>
                <w:rFonts w:cs="Times New Roman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3FE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64A" w14:textId="77777777" w:rsidR="00020798" w:rsidRPr="00BA790B" w:rsidRDefault="00020798" w:rsidP="00E83DF8">
            <w:pPr>
              <w:jc w:val="center"/>
              <w:rPr>
                <w:rFonts w:cs="Times New Roman"/>
              </w:rPr>
            </w:pPr>
            <w:r w:rsidRPr="00BA790B">
              <w:rPr>
                <w:rFonts w:cs="Times New Roman"/>
              </w:rPr>
              <w:sym w:font="Wingdings 2" w:char="F0A3"/>
            </w:r>
          </w:p>
        </w:tc>
      </w:tr>
    </w:tbl>
    <w:p w14:paraId="7B4FF060" w14:textId="77777777" w:rsidR="00020798" w:rsidRPr="00BA790B" w:rsidRDefault="00020798" w:rsidP="00020798">
      <w:pPr>
        <w:jc w:val="center"/>
        <w:rPr>
          <w:rFonts w:cs="Times New Roman"/>
          <w:kern w:val="2"/>
          <w:lang w:eastAsia="en-US"/>
        </w:rPr>
      </w:pPr>
    </w:p>
    <w:p w14:paraId="44C588D0" w14:textId="77777777" w:rsidR="00020798" w:rsidRPr="00BA790B" w:rsidRDefault="00020798" w:rsidP="00020798">
      <w:pPr>
        <w:tabs>
          <w:tab w:val="left" w:pos="9504"/>
        </w:tabs>
        <w:rPr>
          <w:rFonts w:cs="Times New Roman"/>
        </w:rPr>
      </w:pPr>
      <w:r w:rsidRPr="00BA790B">
        <w:rPr>
          <w:rFonts w:cs="Times New Roman"/>
          <w:u w:val="single"/>
        </w:rPr>
        <w:t>Дата                                     Подпись претендента                          ФИО претендент</w:t>
      </w:r>
    </w:p>
    <w:p w14:paraId="691E69CE" w14:textId="77777777" w:rsidR="00020798" w:rsidRPr="00BA790B" w:rsidRDefault="00020798" w:rsidP="00020798">
      <w:pPr>
        <w:rPr>
          <w:rFonts w:cs="Times New Roman"/>
        </w:rPr>
      </w:pPr>
    </w:p>
    <w:p w14:paraId="70F1B23D" w14:textId="77777777" w:rsidR="0057358A" w:rsidRPr="00D93F46" w:rsidRDefault="0057358A"/>
    <w:sectPr w:rsidR="0057358A" w:rsidRPr="00D93F46" w:rsidSect="00A85251">
      <w:headerReference w:type="default" r:id="rId13"/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BE2489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3427"/>
    <w:rsid w:val="00015036"/>
    <w:rsid w:val="00020798"/>
    <w:rsid w:val="000250E2"/>
    <w:rsid w:val="00036705"/>
    <w:rsid w:val="00040673"/>
    <w:rsid w:val="00040741"/>
    <w:rsid w:val="00041CB7"/>
    <w:rsid w:val="0004246F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D4281"/>
    <w:rsid w:val="001F2A9F"/>
    <w:rsid w:val="001F62D7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511C1"/>
    <w:rsid w:val="00362359"/>
    <w:rsid w:val="00367865"/>
    <w:rsid w:val="003709E6"/>
    <w:rsid w:val="003746D4"/>
    <w:rsid w:val="003A0017"/>
    <w:rsid w:val="003B7CE7"/>
    <w:rsid w:val="003C2371"/>
    <w:rsid w:val="003C68E5"/>
    <w:rsid w:val="003C68F3"/>
    <w:rsid w:val="003E1126"/>
    <w:rsid w:val="003E55C4"/>
    <w:rsid w:val="003F59E1"/>
    <w:rsid w:val="00405E58"/>
    <w:rsid w:val="00415E88"/>
    <w:rsid w:val="00417543"/>
    <w:rsid w:val="00417676"/>
    <w:rsid w:val="0042698C"/>
    <w:rsid w:val="00436935"/>
    <w:rsid w:val="004375AF"/>
    <w:rsid w:val="0044233F"/>
    <w:rsid w:val="00442F8A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0369F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5C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40AA"/>
    <w:rsid w:val="005D08A9"/>
    <w:rsid w:val="005D3132"/>
    <w:rsid w:val="005D3636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C63EE"/>
    <w:rsid w:val="006D15DE"/>
    <w:rsid w:val="006D38AC"/>
    <w:rsid w:val="006E631F"/>
    <w:rsid w:val="007101B1"/>
    <w:rsid w:val="0071549A"/>
    <w:rsid w:val="00715AB2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5149"/>
    <w:rsid w:val="007664A0"/>
    <w:rsid w:val="00766683"/>
    <w:rsid w:val="007716C1"/>
    <w:rsid w:val="00783A42"/>
    <w:rsid w:val="00784295"/>
    <w:rsid w:val="00785476"/>
    <w:rsid w:val="0079523C"/>
    <w:rsid w:val="007A2A92"/>
    <w:rsid w:val="007A2CA5"/>
    <w:rsid w:val="007A4147"/>
    <w:rsid w:val="007A6FFE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B4D8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27C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89"/>
    <w:rsid w:val="00BE316B"/>
    <w:rsid w:val="00BE4017"/>
    <w:rsid w:val="00BE78B0"/>
    <w:rsid w:val="00BF40C0"/>
    <w:rsid w:val="00BF6B73"/>
    <w:rsid w:val="00BF7D89"/>
    <w:rsid w:val="00C00FE6"/>
    <w:rsid w:val="00C132FB"/>
    <w:rsid w:val="00C42A2E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D4FBB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56CF0"/>
    <w:rsid w:val="00F7722E"/>
    <w:rsid w:val="00F84D42"/>
    <w:rsid w:val="00F9019E"/>
    <w:rsid w:val="00FA3A22"/>
    <w:rsid w:val="00FB3215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2</cp:revision>
  <cp:lastPrinted>2021-05-24T13:27:00Z</cp:lastPrinted>
  <dcterms:created xsi:type="dcterms:W3CDTF">2022-03-18T11:00:00Z</dcterms:created>
  <dcterms:modified xsi:type="dcterms:W3CDTF">2022-03-18T11:00:00Z</dcterms:modified>
</cp:coreProperties>
</file>