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980066">
        <w:rPr>
          <w:color w:val="auto"/>
          <w:sz w:val="18"/>
        </w:rPr>
        <w:t xml:space="preserve">              «__» ________ 202</w:t>
      </w:r>
      <w:r w:rsidR="00BD0EE1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="001201D2">
        <w:rPr>
          <w:color w:val="auto"/>
          <w:sz w:val="18"/>
        </w:rPr>
        <w:t>Петрова Нина Васильевна</w:t>
      </w:r>
      <w:r w:rsidRPr="00F173AA">
        <w:rPr>
          <w:color w:val="auto"/>
          <w:sz w:val="18"/>
        </w:rPr>
        <w:t xml:space="preserve"> (далее Должник) – </w:t>
      </w:r>
      <w:r w:rsidR="008B24EF"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BD0EE1" w:rsidRPr="00BD0EE1">
        <w:rPr>
          <w:color w:val="auto"/>
          <w:sz w:val="18"/>
        </w:rPr>
        <w:t xml:space="preserve">26.04.2022 </w:t>
      </w:r>
      <w:r w:rsidR="00BD0EE1">
        <w:rPr>
          <w:color w:val="auto"/>
          <w:sz w:val="18"/>
        </w:rPr>
        <w:t xml:space="preserve"> </w:t>
      </w:r>
      <w:r>
        <w:rPr>
          <w:color w:val="auto"/>
          <w:sz w:val="18"/>
        </w:rPr>
        <w:t>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r w:rsidR="00C52942" w:rsidRPr="00C52942">
        <w:rPr>
          <w:color w:val="auto"/>
          <w:sz w:val="18"/>
        </w:rPr>
        <w:t xml:space="preserve">Петрова Нина Васильевна, </w:t>
      </w:r>
      <w:proofErr w:type="gramStart"/>
      <w:r w:rsidR="00C52942" w:rsidRPr="00C52942">
        <w:rPr>
          <w:color w:val="auto"/>
          <w:sz w:val="18"/>
        </w:rPr>
        <w:t>р</w:t>
      </w:r>
      <w:proofErr w:type="gramEnd"/>
      <w:r w:rsidR="00C52942" w:rsidRPr="00C52942">
        <w:rPr>
          <w:color w:val="auto"/>
          <w:sz w:val="18"/>
        </w:rPr>
        <w:t>/с 42306810744050560534, Сибирский банк ПАО Сбербанк, к/с 30101810500000000641, БИК 045004641.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246C3B">
        <w:rPr>
          <w:color w:val="auto"/>
          <w:sz w:val="18"/>
        </w:rPr>
        <w:t>2</w:t>
      </w:r>
      <w:r w:rsidR="00BD0EE1">
        <w:rPr>
          <w:color w:val="auto"/>
          <w:sz w:val="18"/>
        </w:rPr>
        <w:t>2</w:t>
      </w:r>
      <w:r w:rsidR="00B33F47">
        <w:rPr>
          <w:color w:val="auto"/>
          <w:sz w:val="18"/>
        </w:rPr>
        <w:t>.</w:t>
      </w:r>
      <w:r w:rsidR="00BD0EE1">
        <w:rPr>
          <w:color w:val="auto"/>
          <w:sz w:val="18"/>
        </w:rPr>
        <w:t>04.2022</w:t>
      </w:r>
      <w:bookmarkStart w:id="0" w:name="_GoBack"/>
      <w:bookmarkEnd w:id="0"/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B33F47">
        <w:rPr>
          <w:color w:val="auto"/>
          <w:sz w:val="18"/>
        </w:rPr>
        <w:t>Петровой Н.В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ином</w:t>
      </w:r>
      <w:proofErr w:type="gramEnd"/>
      <w:r w:rsidRPr="009D2819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9D2819">
        <w:rPr>
          <w:color w:val="auto"/>
          <w:sz w:val="18"/>
        </w:rPr>
        <w:t>по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>настоящем</w:t>
      </w:r>
      <w:proofErr w:type="gramEnd"/>
      <w:r w:rsidRPr="009D2819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FF" w:rsidRPr="009827FF" w:rsidRDefault="009827FF" w:rsidP="009827FF">
            <w:pPr>
              <w:pStyle w:val="2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управляющий </w:t>
            </w:r>
            <w:r w:rsidR="00B33F47">
              <w:rPr>
                <w:rFonts w:ascii="Times New Roman" w:hAnsi="Times New Roman" w:cs="Times New Roman"/>
                <w:sz w:val="20"/>
                <w:szCs w:val="20"/>
              </w:rPr>
              <w:t xml:space="preserve">Петровой Нины Васильевны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F47">
              <w:rPr>
                <w:rFonts w:ascii="Times New Roman" w:hAnsi="Times New Roman" w:cs="Times New Roman"/>
                <w:sz w:val="20"/>
                <w:szCs w:val="20"/>
              </w:rPr>
              <w:t>Воронцов Вячеслав Вячеславович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решением </w:t>
            </w:r>
            <w:r w:rsidR="00B33F47" w:rsidRPr="00B33F47">
              <w:rPr>
                <w:rFonts w:ascii="Times New Roman" w:hAnsi="Times New Roman" w:cs="Times New Roman"/>
                <w:sz w:val="20"/>
                <w:szCs w:val="20"/>
              </w:rPr>
              <w:t>Арбитражного суда Новосибирской области от 26.02.2020 г. по делу № А45-44800/2019</w:t>
            </w:r>
            <w:r w:rsidR="00B33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630007, г. Новосибирск, а/я </w:t>
            </w:r>
            <w:r w:rsidR="00B33F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ИНН</w:t>
            </w:r>
            <w:r w:rsidRPr="009F79F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33F47" w:rsidRPr="009F79F8">
              <w:rPr>
                <w:rFonts w:ascii="Tahoma" w:hAnsi="Tahoma" w:cs="Tahoma"/>
                <w:bCs/>
                <w:color w:val="000000"/>
                <w:bdr w:val="none" w:sz="0" w:space="0" w:color="auto" w:frame="1"/>
                <w:shd w:val="clear" w:color="auto" w:fill="FFFFFF" w:themeFill="background1"/>
              </w:rPr>
              <w:t>540539880940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B33F47">
              <w:rPr>
                <w:color w:val="auto"/>
                <w:sz w:val="18"/>
              </w:rPr>
              <w:t xml:space="preserve">  _____________________ В.В. Воронцов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B33F47" w:rsidRDefault="00B33F47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B33F47" w:rsidRDefault="00B33F47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B33F47" w:rsidRDefault="00B33F47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B33F47" w:rsidRPr="009D2819" w:rsidRDefault="00B33F47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CFB"/>
    <w:rsid w:val="0008170C"/>
    <w:rsid w:val="001201D2"/>
    <w:rsid w:val="00226366"/>
    <w:rsid w:val="00246C3B"/>
    <w:rsid w:val="0038360E"/>
    <w:rsid w:val="00443442"/>
    <w:rsid w:val="00461512"/>
    <w:rsid w:val="004D2B2D"/>
    <w:rsid w:val="004E3A19"/>
    <w:rsid w:val="00513BCF"/>
    <w:rsid w:val="00571791"/>
    <w:rsid w:val="005D1FC3"/>
    <w:rsid w:val="00680A4B"/>
    <w:rsid w:val="006C0801"/>
    <w:rsid w:val="006D2CFB"/>
    <w:rsid w:val="00737980"/>
    <w:rsid w:val="007E6AFF"/>
    <w:rsid w:val="007F4C8D"/>
    <w:rsid w:val="00841C67"/>
    <w:rsid w:val="008B24EF"/>
    <w:rsid w:val="00923CCC"/>
    <w:rsid w:val="00980066"/>
    <w:rsid w:val="009827FF"/>
    <w:rsid w:val="009F79F8"/>
    <w:rsid w:val="00A32E23"/>
    <w:rsid w:val="00B3230E"/>
    <w:rsid w:val="00B33F47"/>
    <w:rsid w:val="00B53E0C"/>
    <w:rsid w:val="00B944B1"/>
    <w:rsid w:val="00BD0EE1"/>
    <w:rsid w:val="00C52942"/>
    <w:rsid w:val="00D237B5"/>
    <w:rsid w:val="00EE3D3D"/>
    <w:rsid w:val="00EF50CD"/>
    <w:rsid w:val="00F14892"/>
    <w:rsid w:val="00F2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32</cp:revision>
  <dcterms:created xsi:type="dcterms:W3CDTF">2020-02-26T04:36:00Z</dcterms:created>
  <dcterms:modified xsi:type="dcterms:W3CDTF">2022-03-17T04:41:00Z</dcterms:modified>
</cp:coreProperties>
</file>