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EB62B9" w:rsidRDefault="00CC5712" w:rsidP="00CC5712">
            <w:pPr>
              <w:jc w:val="right"/>
              <w:rPr>
                <w:noProof/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493245">
              <w:rPr>
                <w:noProof/>
                <w:sz w:val="24"/>
                <w:szCs w:val="24"/>
              </w:rPr>
              <w:t>Лукмановой Эльмиры Радиковны</w:t>
            </w:r>
          </w:p>
          <w:p w:rsidR="00CC5712" w:rsidRPr="002B1E40" w:rsidRDefault="00B96DD0" w:rsidP="00CC5712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CC5712"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493245" w:rsidRDefault="00CC5712" w:rsidP="00E7743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proofErr w:type="spellStart"/>
      <w:r w:rsidR="00493245" w:rsidRPr="00493245">
        <w:rPr>
          <w:b/>
          <w:sz w:val="24"/>
          <w:szCs w:val="24"/>
        </w:rPr>
        <w:t>Лукмановой</w:t>
      </w:r>
      <w:proofErr w:type="spellEnd"/>
      <w:r w:rsidR="00493245" w:rsidRPr="00493245">
        <w:rPr>
          <w:b/>
          <w:sz w:val="24"/>
          <w:szCs w:val="24"/>
        </w:rPr>
        <w:t xml:space="preserve"> Эльмиры </w:t>
      </w:r>
      <w:proofErr w:type="spellStart"/>
      <w:r w:rsidR="00493245" w:rsidRPr="00493245">
        <w:rPr>
          <w:b/>
          <w:sz w:val="24"/>
          <w:szCs w:val="24"/>
        </w:rPr>
        <w:t>Радиковны</w:t>
      </w:r>
      <w:proofErr w:type="spellEnd"/>
    </w:p>
    <w:p w:rsidR="00844995" w:rsidRPr="00EF2961" w:rsidRDefault="00E7743E" w:rsidP="00EB62B9">
      <w:pPr>
        <w:pStyle w:val="1"/>
        <w:jc w:val="center"/>
        <w:rPr>
          <w:sz w:val="24"/>
          <w:szCs w:val="24"/>
        </w:rPr>
      </w:pPr>
      <w:r w:rsidRPr="00E7743E">
        <w:rPr>
          <w:b/>
          <w:sz w:val="24"/>
          <w:szCs w:val="24"/>
        </w:rPr>
        <w:t xml:space="preserve"> </w:t>
      </w:r>
      <w:proofErr w:type="gramStart"/>
      <w:r w:rsidR="00493245" w:rsidRPr="00493245">
        <w:rPr>
          <w:sz w:val="24"/>
          <w:szCs w:val="24"/>
        </w:rPr>
        <w:t>(дата рождения: 30.07.1977, место рождения: гор.</w:t>
      </w:r>
      <w:proofErr w:type="gramEnd"/>
      <w:r w:rsidR="00493245" w:rsidRPr="00493245">
        <w:rPr>
          <w:sz w:val="24"/>
          <w:szCs w:val="24"/>
        </w:rPr>
        <w:t xml:space="preserve"> Наманган Узбекистан, страховой номер индивидуального лицевого счета: 02250852010, ИНН 022402368070, регистрация по месту жительства / фактическое место жительства: </w:t>
      </w:r>
      <w:proofErr w:type="spellStart"/>
      <w:proofErr w:type="gramStart"/>
      <w:r w:rsidR="00493245" w:rsidRPr="00493245">
        <w:rPr>
          <w:sz w:val="24"/>
          <w:szCs w:val="24"/>
        </w:rPr>
        <w:t>Респ</w:t>
      </w:r>
      <w:proofErr w:type="spellEnd"/>
      <w:proofErr w:type="gramEnd"/>
      <w:r w:rsidR="00493245" w:rsidRPr="00493245">
        <w:rPr>
          <w:sz w:val="24"/>
          <w:szCs w:val="24"/>
        </w:rPr>
        <w:t xml:space="preserve"> Башкортостан, с. Улу-Теляк, ул. Новикова дом 32)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31"/>
        <w:gridCol w:w="7074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3482"/>
              <w:gridCol w:w="1220"/>
              <w:gridCol w:w="1542"/>
            </w:tblGrid>
            <w:tr w:rsidR="00CC5712" w:rsidRPr="00A75442" w:rsidTr="00BF7859">
              <w:trPr>
                <w:trHeight w:val="320"/>
              </w:trPr>
              <w:tc>
                <w:tcPr>
                  <w:tcW w:w="604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20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BF7859">
              <w:trPr>
                <w:trHeight w:val="2644"/>
              </w:trPr>
              <w:tc>
                <w:tcPr>
                  <w:tcW w:w="604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82" w:type="dxa"/>
                  <w:shd w:val="clear" w:color="auto" w:fill="auto"/>
                </w:tcPr>
                <w:p w:rsidR="00EB62B9" w:rsidRDefault="00493245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sz w:val="22"/>
                      <w:szCs w:val="22"/>
                    </w:rPr>
                    <w:t>Земельный участок, для ведения индивидуального садоводства</w:t>
                  </w:r>
                </w:p>
                <w:p w:rsidR="00BF7859" w:rsidRDefault="00BF7859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Кадастровый номер: 02:26:060301:320</w:t>
                  </w:r>
                </w:p>
                <w:bookmarkEnd w:id="0"/>
                <w:p w:rsidR="00BF7859" w:rsidRPr="00A75442" w:rsidRDefault="00BF7859" w:rsidP="00B96DD0">
                  <w:pPr>
                    <w:ind w:firstLine="709"/>
                  </w:pPr>
                  <w:r>
                    <w:rPr>
                      <w:sz w:val="22"/>
                      <w:szCs w:val="22"/>
                    </w:rPr>
                    <w:t xml:space="preserve">Местоположение: </w:t>
                  </w:r>
                  <w:r w:rsidRPr="00EB62B9">
                    <w:rPr>
                      <w:sz w:val="22"/>
                      <w:szCs w:val="22"/>
                    </w:rPr>
                    <w:t xml:space="preserve">Республика Башкортостан, г. </w:t>
                  </w:r>
                  <w:proofErr w:type="spellStart"/>
                  <w:r w:rsidRPr="00EB62B9">
                    <w:rPr>
                      <w:sz w:val="22"/>
                      <w:szCs w:val="22"/>
                    </w:rPr>
                    <w:t>Ишимбайский</w:t>
                  </w:r>
                  <w:proofErr w:type="spellEnd"/>
                  <w:r w:rsidRPr="00EB62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62B9">
                    <w:rPr>
                      <w:sz w:val="22"/>
                      <w:szCs w:val="22"/>
                    </w:rPr>
                    <w:t>раойн</w:t>
                  </w:r>
                  <w:proofErr w:type="spellEnd"/>
                  <w:r w:rsidRPr="00EB62B9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EB62B9">
                    <w:rPr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/с </w:t>
                  </w:r>
                  <w:r w:rsidRPr="00EB62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Калтымановский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вблизи д. </w:t>
                  </w:r>
                  <w:proofErr w:type="gramStart"/>
                  <w:r>
                    <w:rPr>
                      <w:sz w:val="22"/>
                      <w:szCs w:val="22"/>
                    </w:rPr>
                    <w:t>Ясная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Поляна, тер СНО «Ясная Поляна»</w:t>
                  </w:r>
                  <w:r>
                    <w:t>, проезд 22, уч. 16</w:t>
                  </w:r>
                  <w:r>
                    <w:t>.</w:t>
                  </w:r>
                </w:p>
              </w:tc>
              <w:tc>
                <w:tcPr>
                  <w:tcW w:w="1220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0B69AE" w:rsidP="00CC5712">
                  <w:pPr>
                    <w:jc w:val="center"/>
                  </w:pPr>
                  <w:r>
                    <w:t xml:space="preserve">1 </w:t>
                  </w:r>
                </w:p>
                <w:p w:rsidR="00B1790E" w:rsidRPr="00A75442" w:rsidRDefault="00B1790E" w:rsidP="00BF7859"/>
              </w:tc>
              <w:tc>
                <w:tcPr>
                  <w:tcW w:w="1542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E7743E" w:rsidRDefault="00E7743E" w:rsidP="00CC5712">
                  <w:pPr>
                    <w:jc w:val="center"/>
                  </w:pPr>
                </w:p>
                <w:p w:rsidR="002451F7" w:rsidRDefault="00BF7859" w:rsidP="00CC5712">
                  <w:pPr>
                    <w:jc w:val="center"/>
                  </w:pPr>
                  <w:r>
                    <w:t>110795,00</w:t>
                  </w: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Pr="00A75442" w:rsidRDefault="002451F7" w:rsidP="000B69AE"/>
              </w:tc>
            </w:tr>
          </w:tbl>
          <w:p w:rsidR="00CC5712" w:rsidRPr="00A75442" w:rsidRDefault="006C5FDE" w:rsidP="00BF7859">
            <w:r w:rsidRPr="00A75442">
              <w:t>Ознакомление с имуществом производится по адресу</w:t>
            </w:r>
            <w:r w:rsidR="001F03C6" w:rsidRPr="00A75442">
              <w:t xml:space="preserve">: </w:t>
            </w:r>
            <w:r w:rsidR="00EB62B9" w:rsidRPr="00EB62B9">
              <w:rPr>
                <w:sz w:val="22"/>
                <w:szCs w:val="22"/>
              </w:rPr>
              <w:t xml:space="preserve">Республика Башкортостан, г. </w:t>
            </w:r>
            <w:proofErr w:type="spellStart"/>
            <w:r w:rsidR="00EB62B9" w:rsidRPr="00EB62B9">
              <w:rPr>
                <w:sz w:val="22"/>
                <w:szCs w:val="22"/>
              </w:rPr>
              <w:t>Ишимбайский</w:t>
            </w:r>
            <w:proofErr w:type="spellEnd"/>
            <w:r w:rsidR="00EB62B9" w:rsidRPr="00EB62B9">
              <w:rPr>
                <w:sz w:val="22"/>
                <w:szCs w:val="22"/>
              </w:rPr>
              <w:t xml:space="preserve"> </w:t>
            </w:r>
            <w:proofErr w:type="spellStart"/>
            <w:r w:rsidR="00EB62B9" w:rsidRPr="00EB62B9">
              <w:rPr>
                <w:sz w:val="22"/>
                <w:szCs w:val="22"/>
              </w:rPr>
              <w:t>раойн</w:t>
            </w:r>
            <w:proofErr w:type="spellEnd"/>
            <w:r w:rsidR="00EB62B9" w:rsidRPr="00EB62B9">
              <w:rPr>
                <w:sz w:val="22"/>
                <w:szCs w:val="22"/>
              </w:rPr>
              <w:t xml:space="preserve">, </w:t>
            </w:r>
            <w:proofErr w:type="gramStart"/>
            <w:r w:rsidR="00EB62B9" w:rsidRPr="00EB62B9">
              <w:rPr>
                <w:sz w:val="22"/>
                <w:szCs w:val="22"/>
              </w:rPr>
              <w:t>с</w:t>
            </w:r>
            <w:proofErr w:type="gramEnd"/>
            <w:r w:rsidR="00BF7859">
              <w:rPr>
                <w:sz w:val="22"/>
                <w:szCs w:val="22"/>
              </w:rPr>
              <w:t xml:space="preserve">/с </w:t>
            </w:r>
            <w:r w:rsidR="00EB62B9" w:rsidRPr="00EB62B9">
              <w:rPr>
                <w:sz w:val="22"/>
                <w:szCs w:val="22"/>
              </w:rPr>
              <w:t xml:space="preserve"> </w:t>
            </w:r>
            <w:proofErr w:type="spellStart"/>
            <w:r w:rsidR="00BF7859">
              <w:rPr>
                <w:sz w:val="22"/>
                <w:szCs w:val="22"/>
              </w:rPr>
              <w:t>Калтымановский</w:t>
            </w:r>
            <w:proofErr w:type="spellEnd"/>
            <w:r w:rsidR="00BF7859">
              <w:rPr>
                <w:sz w:val="22"/>
                <w:szCs w:val="22"/>
              </w:rPr>
              <w:t xml:space="preserve">, вблизи д. </w:t>
            </w:r>
            <w:proofErr w:type="gramStart"/>
            <w:r w:rsidR="00BF7859">
              <w:rPr>
                <w:sz w:val="22"/>
                <w:szCs w:val="22"/>
              </w:rPr>
              <w:t>Ясная</w:t>
            </w:r>
            <w:proofErr w:type="gramEnd"/>
            <w:r w:rsidR="00BF7859">
              <w:rPr>
                <w:sz w:val="22"/>
                <w:szCs w:val="22"/>
              </w:rPr>
              <w:t xml:space="preserve"> Поляна, тер СНО «Ясная Поляна»</w:t>
            </w:r>
            <w:r w:rsidR="0077050B">
              <w:t>,</w:t>
            </w:r>
            <w:r w:rsidR="00BF7859">
              <w:t xml:space="preserve"> проезд 22, уч. 16,</w:t>
            </w:r>
            <w:r w:rsidR="001F03C6" w:rsidRPr="00A75442">
              <w:t xml:space="preserve"> </w:t>
            </w:r>
            <w:r w:rsidRPr="00A75442">
              <w:t>с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</w:t>
            </w:r>
            <w:r w:rsidR="009346D7">
              <w:t xml:space="preserve"> рабочих </w:t>
            </w:r>
            <w:r w:rsidR="00335C20">
              <w:t>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Финансовый управляющий </w:t>
            </w:r>
            <w:r w:rsidR="00493245" w:rsidRPr="00493245">
              <w:rPr>
                <w:noProof/>
              </w:rPr>
              <w:t>Лукмановой Эльмиры Радиковны</w:t>
            </w:r>
            <w:r w:rsidR="00493245">
              <w:rPr>
                <w:noProof/>
              </w:rPr>
              <w:t xml:space="preserve">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FC5B0E">
              <w:rPr>
                <w:noProof/>
              </w:rPr>
              <w:t xml:space="preserve"> </w:t>
            </w:r>
            <w:r w:rsidR="00BF7859">
              <w:rPr>
                <w:noProof/>
              </w:rPr>
              <w:t>13.09</w:t>
            </w:r>
            <w:r w:rsidR="00EB62B9">
              <w:rPr>
                <w:noProof/>
              </w:rPr>
              <w:t xml:space="preserve">.2021 </w:t>
            </w:r>
            <w:r w:rsidR="00B96DD0">
              <w:rPr>
                <w:noProof/>
              </w:rPr>
              <w:t>по делу №</w:t>
            </w:r>
            <w:r w:rsidR="0077050B">
              <w:t xml:space="preserve"> </w:t>
            </w:r>
            <w:r w:rsidR="0077050B" w:rsidRPr="0077050B">
              <w:rPr>
                <w:noProof/>
              </w:rPr>
              <w:t>А07-</w:t>
            </w:r>
            <w:r w:rsidR="00BF7859">
              <w:rPr>
                <w:noProof/>
              </w:rPr>
              <w:t>21356</w:t>
            </w:r>
            <w:r w:rsidR="0077050B" w:rsidRPr="0077050B">
              <w:rPr>
                <w:noProof/>
              </w:rPr>
              <w:t>/20</w:t>
            </w:r>
            <w:r w:rsidR="00EB62B9">
              <w:rPr>
                <w:noProof/>
              </w:rPr>
              <w:t>21</w:t>
            </w:r>
            <w:r w:rsidR="0077050B" w:rsidRPr="0077050B">
              <w:rPr>
                <w:noProof/>
              </w:rPr>
              <w:cr/>
            </w:r>
            <w:r w:rsidR="00B96DD0">
              <w:rPr>
                <w:noProof/>
              </w:rPr>
              <w:t xml:space="preserve"> </w:t>
            </w:r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>Российский аукционный дом</w:t>
            </w:r>
            <w:proofErr w:type="gramStart"/>
            <w:r w:rsidR="007300ED">
              <w:t xml:space="preserve"> </w:t>
            </w:r>
            <w:r w:rsidR="00216838" w:rsidRPr="00A75442">
              <w:t>,</w:t>
            </w:r>
            <w:proofErr w:type="gramEnd"/>
            <w:r w:rsidR="00216838" w:rsidRPr="00A75442">
              <w:t xml:space="preserve">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FC5B0E" w:rsidRPr="00A75442" w:rsidRDefault="00FC5B0E" w:rsidP="00C0006F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926924" w:rsidRPr="009269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lastRenderedPageBreak/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6924" w:rsidRPr="00926924">
              <w:rPr>
                <w:color w:val="000000" w:themeColor="text1"/>
                <w:sz w:val="22"/>
                <w:szCs w:val="22"/>
              </w:rPr>
              <w:t xml:space="preserve">Банк получателя: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CC5712" w:rsidRPr="006214D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926924" w:rsidRPr="00A75442" w:rsidRDefault="00CC5712" w:rsidP="00145CEC">
            <w:r w:rsidRPr="00A75442">
              <w:t xml:space="preserve">Лот № </w:t>
            </w:r>
            <w:r w:rsidR="00C0006F">
              <w:t xml:space="preserve">1 – 5% от начальной стоимости лота 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</w:t>
            </w:r>
            <w:proofErr w:type="gramStart"/>
            <w:r w:rsidR="00B20496" w:rsidRPr="00A75442">
              <w:t xml:space="preserve"> .</w:t>
            </w:r>
            <w:proofErr w:type="gramEnd"/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</w:t>
            </w:r>
            <w:r w:rsidRPr="009936A3">
              <w:lastRenderedPageBreak/>
              <w:t>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proofErr w:type="gramStart"/>
            <w:r w:rsidRPr="009936A3"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936A3"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proofErr w:type="gramStart"/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proofErr w:type="gramStart"/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 w:rsidRPr="009936A3">
              <w:t xml:space="preserve"> </w:t>
            </w:r>
            <w:proofErr w:type="gramStart"/>
            <w:r w:rsidRPr="009936A3">
              <w:t>признании</w:t>
            </w:r>
            <w:proofErr w:type="gramEnd"/>
            <w:r w:rsidRPr="009936A3"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 xml:space="preserve">Предложения о цене </w:t>
            </w:r>
            <w:proofErr w:type="gramStart"/>
            <w:r w:rsidRPr="009936A3">
              <w:t>заявляются</w:t>
            </w:r>
            <w:proofErr w:type="gramEnd"/>
            <w:r w:rsidRPr="009936A3">
              <w:t xml:space="preserve">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</w:t>
            </w:r>
            <w:r w:rsidRPr="009936A3">
              <w:lastRenderedPageBreak/>
              <w:t xml:space="preserve">представление и принятие предложений о цене прекращаются. </w:t>
            </w:r>
            <w:proofErr w:type="gramStart"/>
            <w:r w:rsidRPr="009936A3"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936A3"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936A3"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936A3">
              <w:t>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</w:t>
            </w:r>
            <w:proofErr w:type="gramStart"/>
            <w:r w:rsidRPr="009936A3">
              <w:t>,</w:t>
            </w:r>
            <w:proofErr w:type="gramEnd"/>
            <w:r w:rsidRPr="009936A3"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тридцати минут с момента:</w:t>
            </w:r>
          </w:p>
          <w:p w:rsidR="007E5925" w:rsidRPr="009936A3" w:rsidRDefault="007E5925" w:rsidP="007E5925">
            <w:r w:rsidRPr="009936A3">
              <w:t xml:space="preserve">окончания срока представления заявок </w:t>
            </w:r>
            <w:proofErr w:type="gramStart"/>
            <w:r w:rsidRPr="009936A3">
              <w:t>на участие в торгах при отсутствии заявок на участие в торгах</w:t>
            </w:r>
            <w:proofErr w:type="gramEnd"/>
            <w:r w:rsidRPr="009936A3">
              <w:t>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 xml:space="preserve">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</w:t>
            </w:r>
            <w:r w:rsidRPr="009936A3">
              <w:lastRenderedPageBreak/>
              <w:t>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</w:t>
            </w:r>
            <w:proofErr w:type="gramStart"/>
            <w:r w:rsidRPr="009936A3">
              <w:t xml:space="preserve">с даты </w:t>
            </w:r>
            <w:r>
              <w:t>утверждения</w:t>
            </w:r>
            <w:proofErr w:type="gramEnd"/>
            <w:r>
              <w:t xml:space="preserve">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</w:t>
            </w:r>
            <w:proofErr w:type="gramStart"/>
            <w:r w:rsidRPr="009936A3">
              <w:t>с даты получения</w:t>
            </w:r>
            <w:proofErr w:type="gramEnd"/>
            <w:r w:rsidRPr="009936A3">
              <w:t xml:space="preserve"> победителем торгов предложения о заключении данного договора.</w:t>
            </w:r>
          </w:p>
          <w:p w:rsidR="00050F53" w:rsidRDefault="00050F53" w:rsidP="00050F53">
            <w:proofErr w:type="gramStart"/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C35193" w:rsidRPr="00C35193" w:rsidRDefault="00C0006F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>После определения победителя торгов финансовый управляющий на</w:t>
            </w:r>
            <w:r w:rsidR="00C35193">
              <w:rPr>
                <w:b/>
                <w:u w:val="single"/>
              </w:rPr>
              <w:t xml:space="preserve">правляет сособственнику </w:t>
            </w:r>
            <w:proofErr w:type="gramStart"/>
            <w:r w:rsidR="00C35193">
              <w:rPr>
                <w:b/>
                <w:u w:val="single"/>
              </w:rPr>
              <w:t xml:space="preserve">( </w:t>
            </w:r>
            <w:proofErr w:type="gramEnd"/>
            <w:r w:rsidR="00C35193">
              <w:rPr>
                <w:b/>
                <w:u w:val="single"/>
              </w:rPr>
              <w:t xml:space="preserve">дольщику)   имущества </w:t>
            </w:r>
            <w:r w:rsidRPr="00C35193">
              <w:rPr>
                <w:b/>
                <w:u w:val="single"/>
              </w:rPr>
              <w:t xml:space="preserve"> предложение о реализации преимущественного права по цене, которую назначил победитель то</w:t>
            </w:r>
            <w:r w:rsidR="00C35193" w:rsidRPr="00C35193">
              <w:rPr>
                <w:b/>
                <w:u w:val="single"/>
              </w:rPr>
              <w:t>ргов.</w:t>
            </w:r>
          </w:p>
          <w:p w:rsidR="00C0006F" w:rsidRPr="00C35193" w:rsidRDefault="00C35193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 xml:space="preserve">Если сособственник откажется </w:t>
            </w:r>
            <w:r w:rsidR="00C0006F" w:rsidRPr="00C35193">
              <w:rPr>
                <w:b/>
                <w:u w:val="single"/>
              </w:rPr>
              <w:t>от реализации преиму</w:t>
            </w:r>
            <w:r w:rsidRPr="00C35193">
              <w:rPr>
                <w:b/>
                <w:u w:val="single"/>
              </w:rPr>
              <w:t>щественного права или не выразит</w:t>
            </w:r>
            <w:r w:rsidR="00C0006F" w:rsidRPr="00C35193">
              <w:rPr>
                <w:b/>
                <w:u w:val="single"/>
              </w:rPr>
              <w:t xml:space="preserve"> волю на заключение договора в течение </w:t>
            </w:r>
            <w:r w:rsidRPr="00C35193">
              <w:rPr>
                <w:b/>
                <w:u w:val="single"/>
              </w:rPr>
              <w:t>10 дней со дня получения уведомления</w:t>
            </w:r>
            <w:r w:rsidR="00C0006F" w:rsidRPr="00C35193">
              <w:rPr>
                <w:b/>
                <w:u w:val="single"/>
              </w:rPr>
              <w:t>, имущество реализуется в пользу победителя торгов.</w:t>
            </w:r>
          </w:p>
          <w:p w:rsidR="00C0006F" w:rsidRPr="009936A3" w:rsidRDefault="00C0006F" w:rsidP="00C35193"/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C35193">
              <w:t xml:space="preserve"> В случае отказа победителя торгов от заключения и оплаты договора, задаток  не возвращается. 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C469BA" w:rsidRPr="00C469BA" w:rsidRDefault="00CC5712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9BA">
              <w:rPr>
                <w:color w:val="000000" w:themeColor="text1"/>
                <w:sz w:val="22"/>
                <w:szCs w:val="22"/>
              </w:rPr>
              <w:t>Банк получателя</w:t>
            </w:r>
            <w:r w:rsidR="00C469BA" w:rsidRPr="00C469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  <w:p w:rsidR="00CC5712" w:rsidRPr="00C51B24" w:rsidRDefault="00CC5712" w:rsidP="001C112F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proofErr w:type="gramStart"/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</w:t>
            </w:r>
            <w:r w:rsidRPr="00D41C04">
              <w:lastRenderedPageBreak/>
              <w:t>заключения договора купли-продажи имущества по результатам торгов</w:t>
            </w:r>
            <w:proofErr w:type="gramEnd"/>
            <w:r w:rsidRPr="00D41C04">
              <w:t>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proofErr w:type="gramStart"/>
            <w:r w:rsidR="00663787">
              <w:t xml:space="preserve"> </w:t>
            </w:r>
            <w:r w:rsidR="006A1431">
              <w:t>.</w:t>
            </w:r>
            <w:proofErr w:type="gramEnd"/>
            <w:r w:rsidR="006A1431">
              <w:t xml:space="preserve">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proofErr w:type="gramStart"/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7B56B7">
              <w:t xml:space="preserve">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proofErr w:type="gramStart"/>
            <w:r w:rsidRPr="007B56B7">
              <w:lastRenderedPageBreak/>
              <w:t>С даты определения</w:t>
            </w:r>
            <w:proofErr w:type="gramEnd"/>
            <w:r w:rsidRPr="007B56B7"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 xml:space="preserve">Определение </w:t>
            </w:r>
            <w:proofErr w:type="gramStart"/>
            <w:r w:rsidRPr="007B56B7">
              <w:t>участников торгов, проводимых в форме публичного предложения осуществляется</w:t>
            </w:r>
            <w:proofErr w:type="gramEnd"/>
            <w:r w:rsidRPr="007B56B7">
              <w:t xml:space="preserve"> в следующем порядке:</w:t>
            </w:r>
          </w:p>
          <w:p w:rsidR="00050F53" w:rsidRPr="007B56B7" w:rsidRDefault="00050F53" w:rsidP="00050F53">
            <w:proofErr w:type="gramStart"/>
            <w:r w:rsidRPr="007B56B7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proofErr w:type="gramStart"/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 xml:space="preserve">Протокол о результатах проведения торгов или решение о признании торгов </w:t>
            </w:r>
            <w:proofErr w:type="gramStart"/>
            <w:r w:rsidRPr="007B56B7">
              <w:lastRenderedPageBreak/>
              <w:t>несостоявшимися</w:t>
            </w:r>
            <w:proofErr w:type="gramEnd"/>
            <w:r w:rsidRPr="007B56B7">
              <w:t xml:space="preserve"> размещаются оператором электронной площадки на электронной площадке.</w:t>
            </w:r>
          </w:p>
          <w:p w:rsidR="00CC5712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Pr="00D41C04" w:rsidRDefault="00C0006F" w:rsidP="00050F53"/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proofErr w:type="gramStart"/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 w:rsidR="00050F53" w:rsidRPr="007B56B7"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1C112F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493245" w:rsidRPr="00493245">
              <w:rPr>
                <w:noProof/>
              </w:rPr>
              <w:t>Лукмановой Эльмиры Радиковны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A1" w:rsidRDefault="00DD2CA1" w:rsidP="00F33614">
      <w:r>
        <w:separator/>
      </w:r>
    </w:p>
  </w:endnote>
  <w:endnote w:type="continuationSeparator" w:id="0">
    <w:p w:rsidR="00DD2CA1" w:rsidRDefault="00DD2CA1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A1" w:rsidRDefault="00DD2CA1" w:rsidP="00F33614">
      <w:r>
        <w:separator/>
      </w:r>
    </w:p>
  </w:footnote>
  <w:footnote w:type="continuationSeparator" w:id="0">
    <w:p w:rsidR="00DD2CA1" w:rsidRDefault="00DD2CA1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06A11"/>
    <w:rsid w:val="00020DF2"/>
    <w:rsid w:val="00050F53"/>
    <w:rsid w:val="000722B5"/>
    <w:rsid w:val="0007403E"/>
    <w:rsid w:val="00081981"/>
    <w:rsid w:val="00094D61"/>
    <w:rsid w:val="000A3EBD"/>
    <w:rsid w:val="000B69AE"/>
    <w:rsid w:val="00106842"/>
    <w:rsid w:val="00145CEC"/>
    <w:rsid w:val="001A3B81"/>
    <w:rsid w:val="001B2691"/>
    <w:rsid w:val="001C112F"/>
    <w:rsid w:val="001F03C6"/>
    <w:rsid w:val="002001C8"/>
    <w:rsid w:val="00216838"/>
    <w:rsid w:val="0023545D"/>
    <w:rsid w:val="002451F7"/>
    <w:rsid w:val="002C4EEF"/>
    <w:rsid w:val="002F092F"/>
    <w:rsid w:val="00335C20"/>
    <w:rsid w:val="00442F8A"/>
    <w:rsid w:val="0046686D"/>
    <w:rsid w:val="00466F20"/>
    <w:rsid w:val="00467529"/>
    <w:rsid w:val="0049059C"/>
    <w:rsid w:val="00493245"/>
    <w:rsid w:val="00524E94"/>
    <w:rsid w:val="00541D61"/>
    <w:rsid w:val="005511FC"/>
    <w:rsid w:val="0057643B"/>
    <w:rsid w:val="005E7D97"/>
    <w:rsid w:val="006030C9"/>
    <w:rsid w:val="00614239"/>
    <w:rsid w:val="00617CFC"/>
    <w:rsid w:val="006214DF"/>
    <w:rsid w:val="00633086"/>
    <w:rsid w:val="006601D4"/>
    <w:rsid w:val="00663787"/>
    <w:rsid w:val="00690A69"/>
    <w:rsid w:val="006A1431"/>
    <w:rsid w:val="006C000D"/>
    <w:rsid w:val="006C0BDC"/>
    <w:rsid w:val="006C5FDE"/>
    <w:rsid w:val="007300ED"/>
    <w:rsid w:val="00760E8F"/>
    <w:rsid w:val="0077050B"/>
    <w:rsid w:val="00792368"/>
    <w:rsid w:val="007E0A43"/>
    <w:rsid w:val="007E5925"/>
    <w:rsid w:val="008016BA"/>
    <w:rsid w:val="00803A5A"/>
    <w:rsid w:val="00844995"/>
    <w:rsid w:val="008A4210"/>
    <w:rsid w:val="008C18FD"/>
    <w:rsid w:val="008C3FF4"/>
    <w:rsid w:val="008C49EB"/>
    <w:rsid w:val="008E5E40"/>
    <w:rsid w:val="009174A2"/>
    <w:rsid w:val="00926924"/>
    <w:rsid w:val="009346D7"/>
    <w:rsid w:val="00953801"/>
    <w:rsid w:val="009F402A"/>
    <w:rsid w:val="00A26869"/>
    <w:rsid w:val="00A75442"/>
    <w:rsid w:val="00A85C97"/>
    <w:rsid w:val="00AB5424"/>
    <w:rsid w:val="00AD158D"/>
    <w:rsid w:val="00B14E23"/>
    <w:rsid w:val="00B1790E"/>
    <w:rsid w:val="00B20496"/>
    <w:rsid w:val="00B452D4"/>
    <w:rsid w:val="00B56730"/>
    <w:rsid w:val="00B7167D"/>
    <w:rsid w:val="00B73E04"/>
    <w:rsid w:val="00B74517"/>
    <w:rsid w:val="00B96DD0"/>
    <w:rsid w:val="00BF7859"/>
    <w:rsid w:val="00C0006F"/>
    <w:rsid w:val="00C14BDE"/>
    <w:rsid w:val="00C35193"/>
    <w:rsid w:val="00C469BA"/>
    <w:rsid w:val="00C51B24"/>
    <w:rsid w:val="00C653A0"/>
    <w:rsid w:val="00CA7B5C"/>
    <w:rsid w:val="00CB39E7"/>
    <w:rsid w:val="00CC5712"/>
    <w:rsid w:val="00CE4B37"/>
    <w:rsid w:val="00D554D6"/>
    <w:rsid w:val="00D74F9A"/>
    <w:rsid w:val="00DC73C0"/>
    <w:rsid w:val="00DD2CA1"/>
    <w:rsid w:val="00DF59E7"/>
    <w:rsid w:val="00E352ED"/>
    <w:rsid w:val="00E7743E"/>
    <w:rsid w:val="00E966E3"/>
    <w:rsid w:val="00EA7D2E"/>
    <w:rsid w:val="00EB49A8"/>
    <w:rsid w:val="00EB62B9"/>
    <w:rsid w:val="00ED592F"/>
    <w:rsid w:val="00EF2961"/>
    <w:rsid w:val="00F31CA1"/>
    <w:rsid w:val="00F3361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8B65-8420-4A45-8675-F4EF6943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9</cp:revision>
  <cp:lastPrinted>2021-11-23T08:54:00Z</cp:lastPrinted>
  <dcterms:created xsi:type="dcterms:W3CDTF">2020-10-27T02:53:00Z</dcterms:created>
  <dcterms:modified xsi:type="dcterms:W3CDTF">2021-11-23T08:57:00Z</dcterms:modified>
</cp:coreProperties>
</file>