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3241" w14:textId="60DC512C" w:rsidR="00AA78FC" w:rsidRDefault="002E6B51" w:rsidP="002E6B51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 xml:space="preserve"> "Армада" </w:t>
      </w:r>
      <w:r>
        <w:rPr>
          <w:rFonts w:ascii="Times New Roman" w:hAnsi="Times New Roman" w:cs="Times New Roman"/>
        </w:rPr>
        <w:t>(ИНН  6025028175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Земляковой</w:t>
      </w:r>
      <w:proofErr w:type="spellEnd"/>
      <w:r>
        <w:rPr>
          <w:rFonts w:ascii="Times New Roman" w:hAnsi="Times New Roman" w:cs="Times New Roman"/>
          <w:b/>
          <w:bCs/>
        </w:rPr>
        <w:t xml:space="preserve"> Оксаны Васильевны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692501247334)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 Псковской области от 30.03.2016 по делу №А52-2481/2015,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17.05.2022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02.04.2022 по 15.05.2022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16.05.2022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</w:t>
      </w:r>
      <w:r>
        <w:rPr>
          <w:rFonts w:ascii="Times New Roman" w:hAnsi="Times New Roman" w:cs="Times New Roman"/>
        </w:rPr>
        <w:t xml:space="preserve"> недвижимое имущество, расположенное по адресу: Псковская область, г Великие Луки, </w:t>
      </w:r>
      <w:proofErr w:type="spellStart"/>
      <w:r>
        <w:rPr>
          <w:rFonts w:ascii="Times New Roman" w:hAnsi="Times New Roman" w:cs="Times New Roman"/>
        </w:rPr>
        <w:t>пр-кт</w:t>
      </w:r>
      <w:proofErr w:type="spellEnd"/>
      <w:r>
        <w:rPr>
          <w:rFonts w:ascii="Times New Roman" w:hAnsi="Times New Roman" w:cs="Times New Roman"/>
        </w:rPr>
        <w:t xml:space="preserve"> Гагарина, д 127А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shd w:val="clear" w:color="auto" w:fill="FFFFFF"/>
        </w:rPr>
        <w:t xml:space="preserve"> -нежилое здание (главный корпус) пл. 8 872,6 кв. м., кадастровый №: 60:25:0040807:69, количество этажей: 2;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земельный участок пл. 23 758 кв. м., кадастровый №: 60:25:0040807:58, категория земель: земли населенных пунктов, вид разрешенного использования: эксплуатация и обслуживание производственной базы;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нежилое здание пневмотранспорта-станция пересыпки пл.104,7 кв. м., кадастровый №:60:25:0040807:95, количество этажей: 1;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нежилое здание (склад ГСМ) пл.130,5 кв. м., кадастровый №: 60:25:0040807:68, количество этажей: 1.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Начальная цена Лота 1-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44 082 227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Обременение Лотов: </w:t>
      </w:r>
      <w:r>
        <w:rPr>
          <w:rFonts w:ascii="Times New Roman" w:hAnsi="Times New Roman" w:cs="Times New Roman"/>
          <w:bCs/>
        </w:rPr>
        <w:t xml:space="preserve">залог в пользу </w:t>
      </w:r>
      <w:r>
        <w:rPr>
          <w:rFonts w:ascii="Times New Roman" w:hAnsi="Times New Roman" w:cs="Times New Roman"/>
        </w:rPr>
        <w:t>"БАНК ГОРОД" (АО)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 по адресу местонахождения по предварительной договоренности: в рабочие дни</w:t>
      </w:r>
      <w:r>
        <w:rPr>
          <w:rFonts w:ascii="Times New Roman" w:hAnsi="Times New Roman" w:cs="Times New Roman"/>
          <w:iCs/>
        </w:rPr>
        <w:t xml:space="preserve">  с 10:00 по 15:00, эл. почта:  </w:t>
      </w:r>
      <w:hyperlink r:id="rId6" w:history="1">
        <w:r>
          <w:rPr>
            <w:rStyle w:val="a3"/>
            <w:rFonts w:ascii="Times New Roman" w:hAnsi="Times New Roman" w:cs="Times New Roman"/>
            <w:iCs/>
          </w:rPr>
          <w:t>23190@bk.ru</w:t>
        </w:r>
      </w:hyperlink>
      <w:r>
        <w:rPr>
          <w:rFonts w:ascii="Times New Roman" w:hAnsi="Times New Roman" w:cs="Times New Roman"/>
          <w:iCs/>
        </w:rPr>
        <w:t xml:space="preserve">, тел. 8 963 645 11 88 (КУ);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 течение 30 дней со дня подписания Договора на спец. счет Должника: </w:t>
      </w:r>
      <w:proofErr w:type="gramStart"/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</w:rPr>
        <w:t xml:space="preserve"> 40702810838000246020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ПАО СБЕРБАНК, к/с № 30101810400000000225,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044525225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71"/>
    <w:rsid w:val="001E30B7"/>
    <w:rsid w:val="002E6B51"/>
    <w:rsid w:val="00903C68"/>
    <w:rsid w:val="00D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AFC3-DA00-458D-8B8D-C8EAB6F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190@bk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2022-03-28T07:54:00Z</dcterms:created>
  <dcterms:modified xsi:type="dcterms:W3CDTF">2022-03-28T07:54:00Z</dcterms:modified>
</cp:coreProperties>
</file>