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1875D2" w14:textId="77777777" w:rsidR="00727FF3" w:rsidRDefault="00727FF3" w:rsidP="00727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50B5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купли-продажи недвижимого имущества (далее по тексту - «Договор») о нижеследующем:</w:t>
      </w: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4166D7B1" w:rsidR="003C32B2" w:rsidRPr="003C32B2" w:rsidRDefault="00BD7FC5" w:rsidP="00706AEE">
      <w:pPr>
        <w:pStyle w:val="ConsNormal"/>
        <w:widowControl/>
        <w:numPr>
          <w:ilvl w:val="0"/>
          <w:numId w:val="33"/>
        </w:numPr>
        <w:tabs>
          <w:tab w:val="left" w:pos="0"/>
          <w:tab w:val="left" w:pos="284"/>
        </w:tabs>
        <w:ind w:left="0" w:right="0" w:firstLine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</w:t>
      </w:r>
      <w:r w:rsidR="00623666">
        <w:rPr>
          <w:rFonts w:ascii="Verdana" w:hAnsi="Verdana"/>
        </w:rPr>
        <w:t xml:space="preserve"> </w:t>
      </w:r>
      <w:r w:rsidR="003C32B2" w:rsidRPr="00FF7586">
        <w:rPr>
          <w:rFonts w:ascii="Verdana" w:hAnsi="Verdana" w:cs="Times New Roman"/>
          <w:color w:val="000000" w:themeColor="text1"/>
        </w:rPr>
        <w:t>в составе</w:t>
      </w:r>
      <w:r w:rsidR="003C32B2" w:rsidRPr="003C32B2">
        <w:rPr>
          <w:rFonts w:ascii="Verdana" w:hAnsi="Verdana"/>
        </w:rPr>
        <w:t>:</w:t>
      </w:r>
    </w:p>
    <w:p w14:paraId="64CAF9CB" w14:textId="7C970517" w:rsidR="00FF7586" w:rsidRPr="002D359B" w:rsidRDefault="00FF7586" w:rsidP="002D359B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rFonts w:ascii="Verdana" w:hAnsi="Verdana" w:cs="Arial"/>
        </w:rPr>
      </w:pPr>
      <w:r w:rsidRPr="002D359B">
        <w:rPr>
          <w:rFonts w:ascii="Verdana" w:hAnsi="Verdana"/>
          <w:color w:val="000000" w:themeColor="text1"/>
        </w:rPr>
        <w:t xml:space="preserve">Нежилое </w:t>
      </w:r>
      <w:r w:rsidR="001E61F0" w:rsidRPr="002D359B">
        <w:rPr>
          <w:rFonts w:ascii="Verdana" w:hAnsi="Verdana"/>
          <w:color w:val="000000" w:themeColor="text1"/>
        </w:rPr>
        <w:t>помещение</w:t>
      </w:r>
      <w:r w:rsidRPr="002D359B">
        <w:rPr>
          <w:rFonts w:ascii="Verdana" w:hAnsi="Verdana"/>
          <w:color w:val="000000" w:themeColor="text1"/>
        </w:rPr>
        <w:t xml:space="preserve">, общей площадью </w:t>
      </w:r>
      <w:r w:rsidR="00727FF3" w:rsidRPr="002D359B">
        <w:rPr>
          <w:rFonts w:ascii="Verdana" w:hAnsi="Verdana"/>
          <w:color w:val="000000" w:themeColor="text1"/>
        </w:rPr>
        <w:t>283</w:t>
      </w:r>
      <w:r w:rsidR="00706AEE" w:rsidRPr="002D359B">
        <w:rPr>
          <w:rFonts w:ascii="Verdana" w:hAnsi="Verdana"/>
          <w:color w:val="000000" w:themeColor="text1"/>
        </w:rPr>
        <w:t>,</w:t>
      </w:r>
      <w:r w:rsidR="00727FF3" w:rsidRPr="002D359B">
        <w:rPr>
          <w:rFonts w:ascii="Verdana" w:hAnsi="Verdana"/>
          <w:color w:val="000000" w:themeColor="text1"/>
        </w:rPr>
        <w:t>4</w:t>
      </w:r>
      <w:r w:rsidR="00706AEE" w:rsidRPr="002D359B">
        <w:rPr>
          <w:rFonts w:ascii="Verdana" w:hAnsi="Verdana"/>
          <w:color w:val="000000" w:themeColor="text1"/>
        </w:rPr>
        <w:t xml:space="preserve"> </w:t>
      </w:r>
      <w:r w:rsidRPr="002D359B">
        <w:rPr>
          <w:rFonts w:ascii="Verdana" w:hAnsi="Verdana"/>
          <w:color w:val="000000" w:themeColor="text1"/>
        </w:rPr>
        <w:t xml:space="preserve">кв. м. </w:t>
      </w:r>
      <w:r w:rsidR="00CC0059" w:rsidRPr="002D359B">
        <w:rPr>
          <w:rFonts w:ascii="Verdana" w:hAnsi="Verdana"/>
          <w:color w:val="000000" w:themeColor="text1"/>
        </w:rPr>
        <w:t>находящееся</w:t>
      </w:r>
      <w:r w:rsidRPr="002D359B">
        <w:rPr>
          <w:rFonts w:ascii="Verdana" w:hAnsi="Verdana"/>
          <w:color w:val="000000" w:themeColor="text1"/>
        </w:rPr>
        <w:t xml:space="preserve"> </w:t>
      </w:r>
      <w:r w:rsidR="00CC0059" w:rsidRPr="002D359B">
        <w:rPr>
          <w:rFonts w:ascii="Verdana" w:hAnsi="Verdana"/>
          <w:color w:val="000000" w:themeColor="text1"/>
        </w:rPr>
        <w:t xml:space="preserve">по адресу: </w:t>
      </w:r>
      <w:r w:rsidR="00727FF3" w:rsidRPr="002D359B">
        <w:rPr>
          <w:rFonts w:ascii="Verdana" w:hAnsi="Verdana"/>
          <w:color w:val="000000" w:themeColor="text1"/>
        </w:rPr>
        <w:t xml:space="preserve">Республика Коми, г Ухта, </w:t>
      </w:r>
      <w:proofErr w:type="spellStart"/>
      <w:r w:rsidR="00727FF3" w:rsidRPr="002D359B">
        <w:rPr>
          <w:rFonts w:ascii="Verdana" w:hAnsi="Verdana"/>
          <w:color w:val="000000" w:themeColor="text1"/>
        </w:rPr>
        <w:t>пр-кт</w:t>
      </w:r>
      <w:proofErr w:type="spellEnd"/>
      <w:r w:rsidR="00CB5B37">
        <w:rPr>
          <w:rFonts w:ascii="Verdana" w:hAnsi="Verdana"/>
          <w:color w:val="000000" w:themeColor="text1"/>
        </w:rPr>
        <w:t>.</w:t>
      </w:r>
      <w:r w:rsidR="00727FF3" w:rsidRPr="002D359B">
        <w:rPr>
          <w:rFonts w:ascii="Verdana" w:hAnsi="Verdana"/>
          <w:color w:val="000000" w:themeColor="text1"/>
        </w:rPr>
        <w:t xml:space="preserve"> А. И. </w:t>
      </w:r>
      <w:proofErr w:type="spellStart"/>
      <w:r w:rsidR="00727FF3" w:rsidRPr="002D359B">
        <w:rPr>
          <w:rFonts w:ascii="Verdana" w:hAnsi="Verdana"/>
          <w:color w:val="000000" w:themeColor="text1"/>
        </w:rPr>
        <w:t>Зерюнова</w:t>
      </w:r>
      <w:proofErr w:type="spellEnd"/>
      <w:r w:rsidR="00727FF3" w:rsidRPr="002D359B">
        <w:rPr>
          <w:rFonts w:ascii="Verdana" w:hAnsi="Verdana"/>
          <w:color w:val="000000" w:themeColor="text1"/>
        </w:rPr>
        <w:t>, д 6</w:t>
      </w:r>
      <w:r w:rsidR="00334C80" w:rsidRPr="002D359B">
        <w:rPr>
          <w:rFonts w:ascii="Verdana" w:hAnsi="Verdana"/>
          <w:color w:val="000000" w:themeColor="text1"/>
        </w:rPr>
        <w:t>.</w:t>
      </w:r>
      <w:r w:rsidR="00CC0059" w:rsidRPr="002D359B">
        <w:rPr>
          <w:rFonts w:ascii="Verdana" w:hAnsi="Verdana"/>
          <w:color w:val="000000" w:themeColor="text1"/>
        </w:rPr>
        <w:t xml:space="preserve"> </w:t>
      </w:r>
      <w:r w:rsidRPr="002D359B">
        <w:rPr>
          <w:rFonts w:ascii="Verdana" w:hAnsi="Verdana"/>
          <w:color w:val="000000" w:themeColor="text1"/>
        </w:rPr>
        <w:t xml:space="preserve">КН: </w:t>
      </w:r>
      <w:r w:rsidR="00727FF3" w:rsidRPr="002D359B">
        <w:rPr>
          <w:rFonts w:ascii="Verdana" w:hAnsi="Verdana"/>
          <w:color w:val="000000" w:themeColor="text1"/>
        </w:rPr>
        <w:t>11:20:0605002:1266,</w:t>
      </w:r>
    </w:p>
    <w:p w14:paraId="7E5C715B" w14:textId="2D38901A" w:rsidR="00171986" w:rsidRDefault="00171986" w:rsidP="001B290B">
      <w:pPr>
        <w:pStyle w:val="a5"/>
        <w:ind w:left="0"/>
        <w:jc w:val="both"/>
        <w:rPr>
          <w:rFonts w:ascii="Verdana" w:hAnsi="Verdana"/>
          <w:color w:val="000000" w:themeColor="text1"/>
        </w:rPr>
      </w:pPr>
      <w:r w:rsidRPr="00C90476">
        <w:rPr>
          <w:rFonts w:ascii="Verdana" w:hAnsi="Verdana"/>
          <w:color w:val="000000" w:themeColor="text1"/>
        </w:rPr>
        <w:t>(далее именуем</w:t>
      </w:r>
      <w:r w:rsidR="006E2D5D">
        <w:rPr>
          <w:rFonts w:ascii="Verdana" w:hAnsi="Verdana"/>
          <w:color w:val="000000" w:themeColor="text1"/>
        </w:rPr>
        <w:t>ые</w:t>
      </w:r>
      <w:r w:rsidRPr="00C90476">
        <w:rPr>
          <w:rFonts w:ascii="Verdana" w:hAnsi="Verdana"/>
          <w:color w:val="000000" w:themeColor="text1"/>
        </w:rPr>
        <w:t xml:space="preserve"> – «недвижимое имущество»).</w:t>
      </w:r>
    </w:p>
    <w:p w14:paraId="5F2350E7" w14:textId="77777777" w:rsidR="006E2D5D" w:rsidRPr="00C90476" w:rsidRDefault="006E2D5D" w:rsidP="001B290B">
      <w:pPr>
        <w:pStyle w:val="a5"/>
        <w:ind w:left="0"/>
        <w:jc w:val="both"/>
        <w:rPr>
          <w:rFonts w:ascii="Verdana" w:hAnsi="Verdana"/>
          <w:color w:val="000000" w:themeColor="text1"/>
        </w:rPr>
      </w:pPr>
    </w:p>
    <w:p w14:paraId="7C9F1A09" w14:textId="1E1061B0" w:rsidR="006E2D5D" w:rsidRPr="00181650" w:rsidRDefault="000E2F36" w:rsidP="00592BBA">
      <w:pPr>
        <w:pStyle w:val="ConsNormal"/>
        <w:widowControl/>
        <w:numPr>
          <w:ilvl w:val="1"/>
          <w:numId w:val="26"/>
        </w:numPr>
        <w:tabs>
          <w:tab w:val="left" w:pos="426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</w:t>
      </w:r>
      <w:r w:rsidR="00CB5B37">
        <w:rPr>
          <w:rFonts w:ascii="Verdana" w:hAnsi="Verdana"/>
          <w:color w:val="000000" w:themeColor="text1"/>
        </w:rPr>
        <w:t>Недвижимое имущество</w:t>
      </w:r>
      <w:r w:rsidR="006E2D5D" w:rsidRPr="00312B5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1F2D9B" w:rsidRPr="00312B59">
        <w:rPr>
          <w:rFonts w:ascii="Verdana" w:hAnsi="Verdana"/>
          <w:color w:val="000000" w:themeColor="text1"/>
        </w:rPr>
        <w:t>,</w:t>
      </w:r>
      <w:r w:rsidR="006E2D5D" w:rsidRPr="00312B59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 </w:t>
      </w:r>
      <w:r w:rsidR="006E2D5D" w:rsidRPr="00312B59">
        <w:rPr>
          <w:rFonts w:ascii="Verdana" w:hAnsi="Verdana" w:cs="Times New Roman"/>
        </w:rPr>
        <w:t>№</w:t>
      </w:r>
      <w:r w:rsidR="001F2D9B" w:rsidRPr="00312B59">
        <w:rPr>
          <w:rFonts w:ascii="Verdana" w:hAnsi="Verdana" w:cs="Times New Roman"/>
        </w:rPr>
        <w:t xml:space="preserve"> </w:t>
      </w:r>
      <w:r w:rsidR="00CB5B37">
        <w:rPr>
          <w:rFonts w:ascii="Verdana" w:hAnsi="Verdana" w:cs="Times New Roman"/>
        </w:rPr>
        <w:t>11-11-20/014/2007-295</w:t>
      </w:r>
      <w:r w:rsidR="006E2D5D" w:rsidRPr="00312B59">
        <w:rPr>
          <w:rFonts w:ascii="Verdana" w:hAnsi="Verdana" w:cs="Times New Roman"/>
        </w:rPr>
        <w:t xml:space="preserve"> от</w:t>
      </w:r>
      <w:r w:rsidR="001F2D9B" w:rsidRPr="00312B59">
        <w:rPr>
          <w:rFonts w:ascii="Verdana" w:hAnsi="Verdana" w:cs="Times New Roman"/>
        </w:rPr>
        <w:t xml:space="preserve"> </w:t>
      </w:r>
      <w:r w:rsidR="00CB5B37">
        <w:rPr>
          <w:rFonts w:ascii="Verdana" w:hAnsi="Verdana" w:cs="Times New Roman"/>
        </w:rPr>
        <w:t>14</w:t>
      </w:r>
      <w:r w:rsidR="001F2D9B" w:rsidRPr="00312B59">
        <w:rPr>
          <w:rFonts w:ascii="Verdana" w:hAnsi="Verdana" w:cs="Times New Roman"/>
        </w:rPr>
        <w:t>.0</w:t>
      </w:r>
      <w:r w:rsidR="00CB5B37">
        <w:rPr>
          <w:rFonts w:ascii="Verdana" w:hAnsi="Verdana" w:cs="Times New Roman"/>
        </w:rPr>
        <w:t>4</w:t>
      </w:r>
      <w:r w:rsidR="001F2D9B" w:rsidRPr="00312B59">
        <w:rPr>
          <w:rFonts w:ascii="Verdana" w:hAnsi="Verdana" w:cs="Times New Roman"/>
        </w:rPr>
        <w:t>.20</w:t>
      </w:r>
      <w:r w:rsidR="00CB5B37">
        <w:rPr>
          <w:rFonts w:ascii="Verdana" w:hAnsi="Verdana" w:cs="Times New Roman"/>
        </w:rPr>
        <w:t>07</w:t>
      </w:r>
      <w:r w:rsidR="001F2D9B" w:rsidRPr="00312B59">
        <w:rPr>
          <w:rFonts w:ascii="Verdana" w:hAnsi="Verdana" w:cs="Times New Roman"/>
        </w:rPr>
        <w:t xml:space="preserve"> г.</w:t>
      </w:r>
      <w:r w:rsidR="006E2D5D" w:rsidRPr="00312B59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6E2D5D" w:rsidRPr="00312B59">
        <w:rPr>
          <w:rFonts w:ascii="Verdana" w:hAnsi="Verdana"/>
        </w:rPr>
        <w:t>от</w:t>
      </w:r>
      <w:r w:rsidR="001F2D9B" w:rsidRPr="00312B59">
        <w:rPr>
          <w:rFonts w:ascii="Verdana" w:hAnsi="Verdana"/>
        </w:rPr>
        <w:t xml:space="preserve"> 2</w:t>
      </w:r>
      <w:r w:rsidR="00CB5B37">
        <w:rPr>
          <w:rFonts w:ascii="Verdana" w:hAnsi="Verdana"/>
        </w:rPr>
        <w:t>7</w:t>
      </w:r>
      <w:r w:rsidR="001F2D9B" w:rsidRPr="00312B59">
        <w:rPr>
          <w:rFonts w:ascii="Verdana" w:hAnsi="Verdana"/>
        </w:rPr>
        <w:t>.</w:t>
      </w:r>
      <w:r w:rsidR="00CB5B37">
        <w:rPr>
          <w:rFonts w:ascii="Verdana" w:hAnsi="Verdana"/>
        </w:rPr>
        <w:t>10</w:t>
      </w:r>
      <w:r w:rsidR="001F2D9B" w:rsidRPr="00312B59">
        <w:rPr>
          <w:rFonts w:ascii="Verdana" w:hAnsi="Verdana"/>
        </w:rPr>
        <w:t>.20</w:t>
      </w:r>
      <w:r w:rsidR="00CB5B37">
        <w:rPr>
          <w:rFonts w:ascii="Verdana" w:hAnsi="Verdana"/>
        </w:rPr>
        <w:t>20</w:t>
      </w:r>
      <w:r w:rsidR="00774E5A" w:rsidRPr="00312B59">
        <w:rPr>
          <w:rFonts w:ascii="Verdana" w:hAnsi="Verdana"/>
        </w:rPr>
        <w:t xml:space="preserve"> г.</w:t>
      </w:r>
      <w:r w:rsidR="00CB5B37">
        <w:rPr>
          <w:rFonts w:ascii="Verdana" w:hAnsi="Verdana"/>
        </w:rPr>
        <w:t>, №99/2020/356778668.</w:t>
      </w:r>
    </w:p>
    <w:p w14:paraId="7E5D0A68" w14:textId="1D283185" w:rsidR="00550A24" w:rsidRDefault="00181650" w:rsidP="00E96C7D">
      <w:pPr>
        <w:pStyle w:val="ConsNormal"/>
        <w:widowControl/>
        <w:tabs>
          <w:tab w:val="left" w:pos="426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1.2.</w:t>
      </w:r>
      <w:proofErr w:type="gramStart"/>
      <w:r>
        <w:rPr>
          <w:rFonts w:ascii="Verdana" w:hAnsi="Verdana" w:cs="Times New Roman"/>
        </w:rPr>
        <w:t>1.</w:t>
      </w:r>
      <w:r w:rsidR="00550A24">
        <w:rPr>
          <w:rFonts w:ascii="Verdana" w:hAnsi="Verdana" w:cs="Times New Roman"/>
        </w:rPr>
        <w:t>Недвижимое</w:t>
      </w:r>
      <w:proofErr w:type="gramEnd"/>
      <w:r w:rsidR="00550A24">
        <w:rPr>
          <w:rFonts w:ascii="Verdana" w:hAnsi="Verdana" w:cs="Times New Roman"/>
        </w:rPr>
        <w:t xml:space="preserve"> имущество расположено в пределах здания с кадастровым номером </w:t>
      </w:r>
      <w:r w:rsidR="00550A24" w:rsidRPr="00E96C7D">
        <w:rPr>
          <w:rFonts w:ascii="Verdana" w:hAnsi="Verdana" w:cs="Times New Roman"/>
        </w:rPr>
        <w:t>11:20:0605002:256</w:t>
      </w:r>
    </w:p>
    <w:p w14:paraId="75806863" w14:textId="2E9DFF6F" w:rsidR="00181650" w:rsidRPr="00312B59" w:rsidRDefault="00181650" w:rsidP="00E96C7D">
      <w:pPr>
        <w:pStyle w:val="ConsNormal"/>
        <w:widowControl/>
        <w:tabs>
          <w:tab w:val="left" w:pos="426"/>
          <w:tab w:val="left" w:pos="1080"/>
        </w:tabs>
        <w:ind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</w:p>
    <w:p w14:paraId="2EE49ED7" w14:textId="23ED8CA0" w:rsidR="00171986" w:rsidRPr="008509DF" w:rsidRDefault="000E2F36" w:rsidP="00592BBA">
      <w:pPr>
        <w:pStyle w:val="ConsNormal"/>
        <w:widowControl/>
        <w:numPr>
          <w:ilvl w:val="1"/>
          <w:numId w:val="26"/>
        </w:numPr>
        <w:tabs>
          <w:tab w:val="left" w:pos="426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 xml:space="preserve">. Продавцом соблюдены все необходимые внутрикорпоративные процедуры для </w:t>
      </w:r>
      <w:r w:rsidRPr="00550A24">
        <w:rPr>
          <w:rFonts w:ascii="Verdana" w:hAnsi="Verdana" w:cs="Times New Roman"/>
        </w:rPr>
        <w:t>заключения</w:t>
      </w:r>
      <w:r w:rsidRPr="008509DF">
        <w:rPr>
          <w:rFonts w:ascii="Verdana" w:hAnsi="Verdana"/>
          <w:bCs/>
        </w:rPr>
        <w:t xml:space="preserve">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05E11576" w14:textId="3BBD11D1" w:rsidR="00D22B24" w:rsidRDefault="00631F8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  <w:r w:rsidRPr="00823927">
        <w:rPr>
          <w:rFonts w:ascii="Verdana" w:hAnsi="Verdana" w:cs="Times New Roman"/>
        </w:rPr>
        <w:t>1.6.</w:t>
      </w:r>
      <w:r w:rsidR="001E5EE9">
        <w:rPr>
          <w:rFonts w:ascii="Verdana" w:hAnsi="Verdana" w:cs="Times New Roman"/>
        </w:rPr>
        <w:t xml:space="preserve"> </w:t>
      </w:r>
      <w:r w:rsidRPr="00823927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</w:t>
      </w:r>
      <w:r w:rsidR="00BF33AD">
        <w:rPr>
          <w:rFonts w:ascii="Verdana" w:hAnsi="Verdana" w:cs="Times New Roman"/>
        </w:rPr>
        <w:t>, правами на земельный участок</w:t>
      </w:r>
      <w:r w:rsidRPr="00823927">
        <w:rPr>
          <w:rFonts w:ascii="Verdana" w:hAnsi="Verdana" w:cs="Times New Roman"/>
        </w:rPr>
        <w:t xml:space="preserve"> до подписания настоящего Договора.</w:t>
      </w:r>
      <w:r>
        <w:rPr>
          <w:rFonts w:ascii="Verdana" w:hAnsi="Verdana" w:cs="Times New Roman"/>
          <w:i/>
          <w:color w:val="4F81BD" w:themeColor="accent1"/>
        </w:rPr>
        <w:t xml:space="preserve"> </w:t>
      </w:r>
    </w:p>
    <w:p w14:paraId="7A548BCB" w14:textId="77777777" w:rsidR="007E3F40" w:rsidRPr="008509DF" w:rsidRDefault="007E3F4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A66908" w14:textId="6A6A9CF0" w:rsidR="00773D72" w:rsidRDefault="007D0A4F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2.1. Цена </w:t>
      </w:r>
      <w:r w:rsidR="00B76F5F">
        <w:rPr>
          <w:rFonts w:ascii="Verdana" w:hAnsi="Verdana"/>
        </w:rPr>
        <w:t>н</w:t>
      </w:r>
      <w:r w:rsidR="00B76F5F" w:rsidRPr="00B76F5F">
        <w:rPr>
          <w:rFonts w:ascii="Verdana" w:hAnsi="Verdana"/>
        </w:rPr>
        <w:t>ежило</w:t>
      </w:r>
      <w:r w:rsidR="00B76F5F">
        <w:rPr>
          <w:rFonts w:ascii="Verdana" w:hAnsi="Verdana"/>
        </w:rPr>
        <w:t>го</w:t>
      </w:r>
      <w:r w:rsidR="00B76F5F" w:rsidRPr="00B76F5F">
        <w:rPr>
          <w:rFonts w:ascii="Verdana" w:hAnsi="Verdana"/>
        </w:rPr>
        <w:t xml:space="preserve"> </w:t>
      </w:r>
      <w:r w:rsidR="00C90476">
        <w:rPr>
          <w:rFonts w:ascii="Verdana" w:hAnsi="Verdana"/>
        </w:rPr>
        <w:t>помещения</w:t>
      </w:r>
      <w:r w:rsidR="00B76F5F">
        <w:rPr>
          <w:rFonts w:ascii="Verdana" w:hAnsi="Verdana"/>
        </w:rPr>
        <w:t xml:space="preserve">, </w:t>
      </w:r>
      <w:r w:rsidR="006C6181">
        <w:rPr>
          <w:rFonts w:ascii="Verdana" w:hAnsi="Verdana"/>
        </w:rPr>
        <w:t xml:space="preserve">кадастровый номер </w:t>
      </w:r>
      <w:r w:rsidRPr="007D0A4F">
        <w:rPr>
          <w:rFonts w:ascii="Verdana" w:hAnsi="Verdana"/>
        </w:rPr>
        <w:t>11:20:0605002:1266</w:t>
      </w:r>
      <w:r w:rsidR="00A12AB7">
        <w:rPr>
          <w:rFonts w:ascii="Verdana" w:hAnsi="Verdana"/>
        </w:rPr>
        <w:t xml:space="preserve">, </w:t>
      </w:r>
      <w:r w:rsidR="00B76F5F">
        <w:rPr>
          <w:rFonts w:ascii="Verdana" w:hAnsi="Verdana"/>
        </w:rPr>
        <w:t xml:space="preserve">общей площадью </w:t>
      </w:r>
      <w:r>
        <w:rPr>
          <w:rFonts w:ascii="Verdana" w:hAnsi="Verdana"/>
        </w:rPr>
        <w:t>283</w:t>
      </w:r>
      <w:r w:rsidR="00B76F5F">
        <w:rPr>
          <w:rFonts w:ascii="Verdana" w:hAnsi="Verdana"/>
        </w:rPr>
        <w:t>,</w:t>
      </w:r>
      <w:r>
        <w:rPr>
          <w:rFonts w:ascii="Verdana" w:hAnsi="Verdana"/>
        </w:rPr>
        <w:t>4</w:t>
      </w:r>
      <w:r w:rsidR="00B76F5F">
        <w:rPr>
          <w:rFonts w:ascii="Verdana" w:hAnsi="Verdana"/>
        </w:rPr>
        <w:t xml:space="preserve"> кв. м,</w:t>
      </w:r>
      <w:r w:rsidR="00B76F5F" w:rsidRPr="00B76F5F">
        <w:rPr>
          <w:rFonts w:ascii="Verdana" w:hAnsi="Verdana"/>
        </w:rPr>
        <w:t xml:space="preserve"> </w:t>
      </w:r>
      <w:r w:rsidR="00B76F5F">
        <w:rPr>
          <w:rFonts w:ascii="Verdana" w:hAnsi="Verdana"/>
        </w:rPr>
        <w:t>адрес (местонахождение)</w:t>
      </w:r>
      <w:r w:rsidR="00B76F5F" w:rsidRPr="00B76F5F">
        <w:rPr>
          <w:rFonts w:ascii="Verdana" w:hAnsi="Verdana"/>
        </w:rPr>
        <w:t xml:space="preserve">: </w:t>
      </w:r>
      <w:r w:rsidRPr="007D0A4F">
        <w:rPr>
          <w:rFonts w:ascii="Verdana" w:hAnsi="Verdana"/>
        </w:rPr>
        <w:t xml:space="preserve">Республика Коми, г Ухта, </w:t>
      </w:r>
      <w:proofErr w:type="spellStart"/>
      <w:r w:rsidRPr="007D0A4F">
        <w:rPr>
          <w:rFonts w:ascii="Verdana" w:hAnsi="Verdana"/>
        </w:rPr>
        <w:t>пр-кт</w:t>
      </w:r>
      <w:proofErr w:type="spellEnd"/>
      <w:r w:rsidRPr="007D0A4F">
        <w:rPr>
          <w:rFonts w:ascii="Verdana" w:hAnsi="Verdana"/>
        </w:rPr>
        <w:t xml:space="preserve">. А. И. </w:t>
      </w:r>
      <w:proofErr w:type="spellStart"/>
      <w:r w:rsidRPr="007D0A4F">
        <w:rPr>
          <w:rFonts w:ascii="Verdana" w:hAnsi="Verdana"/>
        </w:rPr>
        <w:t>Зерюнова</w:t>
      </w:r>
      <w:proofErr w:type="spellEnd"/>
      <w:r w:rsidRPr="007D0A4F">
        <w:rPr>
          <w:rFonts w:ascii="Verdana" w:hAnsi="Verdana"/>
        </w:rPr>
        <w:t>, д 6</w:t>
      </w:r>
      <w:r w:rsidR="00527B30">
        <w:rPr>
          <w:rFonts w:ascii="Verdana" w:hAnsi="Verdana"/>
        </w:rPr>
        <w:t xml:space="preserve">, </w:t>
      </w:r>
      <w:r w:rsidR="00DC223C">
        <w:rPr>
          <w:rFonts w:ascii="Verdana" w:hAnsi="Verdana"/>
        </w:rPr>
        <w:t xml:space="preserve">составляет </w:t>
      </w:r>
      <w:r w:rsidR="00773D72" w:rsidRPr="00373E89">
        <w:rPr>
          <w:rFonts w:ascii="Verdana" w:hAnsi="Verdana"/>
          <w:i/>
        </w:rPr>
        <w:t>_________________</w:t>
      </w:r>
      <w:proofErr w:type="gramStart"/>
      <w:r w:rsidR="00773D72" w:rsidRPr="00373E89">
        <w:rPr>
          <w:rFonts w:ascii="Verdana" w:hAnsi="Verdana"/>
          <w:i/>
        </w:rPr>
        <w:t>_(</w:t>
      </w:r>
      <w:proofErr w:type="gramEnd"/>
      <w:r w:rsidR="00773D72" w:rsidRPr="00373E89">
        <w:rPr>
          <w:rFonts w:ascii="Verdana" w:hAnsi="Verdana"/>
          <w:i/>
        </w:rPr>
        <w:t>__________________)</w:t>
      </w:r>
      <w:r w:rsidR="00773D72" w:rsidRPr="00373E89">
        <w:rPr>
          <w:rFonts w:ascii="Verdana" w:hAnsi="Verdana"/>
        </w:rPr>
        <w:t xml:space="preserve"> рублей ___ копеек (в том числе</w:t>
      </w:r>
      <w:r w:rsidR="00DC223C">
        <w:rPr>
          <w:rFonts w:ascii="Verdana" w:hAnsi="Verdana"/>
        </w:rPr>
        <w:t xml:space="preserve"> 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DC223C">
        <w:rPr>
          <w:rFonts w:ascii="Verdana" w:hAnsi="Verdana"/>
        </w:rPr>
        <w:t>).</w:t>
      </w:r>
    </w:p>
    <w:p w14:paraId="1943DEEB" w14:textId="1C541577" w:rsidR="00B64B5C" w:rsidRDefault="00B64B5C" w:rsidP="002D359B">
      <w:pPr>
        <w:pStyle w:val="a5"/>
        <w:widowControl w:val="0"/>
        <w:numPr>
          <w:ilvl w:val="1"/>
          <w:numId w:val="26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0C844C1" w14:textId="77777777" w:rsidR="00E96C7D" w:rsidRPr="008509DF" w:rsidRDefault="00E96C7D" w:rsidP="00621668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6958"/>
      </w:tblGrid>
      <w:tr w:rsidR="00E96C7D" w:rsidRPr="008509DF" w14:paraId="0812B7C2" w14:textId="77777777" w:rsidTr="007E72AD">
        <w:trPr>
          <w:trHeight w:val="1004"/>
        </w:trPr>
        <w:tc>
          <w:tcPr>
            <w:tcW w:w="2268" w:type="dxa"/>
            <w:shd w:val="clear" w:color="auto" w:fill="auto"/>
          </w:tcPr>
          <w:p w14:paraId="2EED54B1" w14:textId="77777777" w:rsidR="00E96C7D" w:rsidRPr="00E96C7D" w:rsidRDefault="00E96C7D" w:rsidP="00621668">
            <w:pPr>
              <w:pStyle w:val="a5"/>
              <w:ind w:left="360"/>
              <w:jc w:val="right"/>
              <w:rPr>
                <w:rFonts w:ascii="Verdana" w:hAnsi="Verdana"/>
                <w:i/>
                <w:color w:val="FF0000"/>
              </w:rPr>
            </w:pPr>
            <w:r w:rsidRPr="00E96C7D">
              <w:rPr>
                <w:rFonts w:ascii="Verdana" w:hAnsi="Verdana"/>
                <w:i/>
                <w:color w:val="FF0000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61D6CA10" w14:textId="77777777" w:rsidR="00E96C7D" w:rsidRPr="008509DF" w:rsidRDefault="00E96C7D" w:rsidP="007E72A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 (в том числе НДС, исчисленный в соответствии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E96C7D" w:rsidRPr="00373E89" w14:paraId="57DDC7D8" w14:textId="77777777" w:rsidTr="007E72AD">
        <w:trPr>
          <w:trHeight w:val="1459"/>
        </w:trPr>
        <w:tc>
          <w:tcPr>
            <w:tcW w:w="2268" w:type="dxa"/>
            <w:shd w:val="clear" w:color="auto" w:fill="auto"/>
          </w:tcPr>
          <w:p w14:paraId="51204F30" w14:textId="77777777" w:rsidR="00E96C7D" w:rsidRPr="008076A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F8AC9BD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с использованием кредитных средств </w:t>
            </w:r>
          </w:p>
          <w:p w14:paraId="6A6A47AD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A4CA6E5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AB5A03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DA8EF1E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4EA3D6B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94324E3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FEAEB55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2531809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CDEA48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EA1C444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EF3450F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5AD4111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2A6033D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5D721BC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9361CAF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BF75B4A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B75E712" w14:textId="0352C2C1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906250E" w14:textId="50A44C62" w:rsidR="0022013D" w:rsidRDefault="0022013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A133D6B" w14:textId="45BF8DF7" w:rsidR="0022013D" w:rsidRDefault="0022013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0B61179" w14:textId="77777777" w:rsidR="0022013D" w:rsidRDefault="0022013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52E786D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2CED41A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3ABAF82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C78BB55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EB7930D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3915E7E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AE302E1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1F25C49" w14:textId="77777777" w:rsidR="00E96C7D" w:rsidRPr="00D22B24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5A065B1" w14:textId="53C7B728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  <w:r w:rsidR="0022013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2013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22013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22013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 с использованием кредитных средств</w:t>
            </w:r>
            <w:bookmarkStart w:id="0" w:name="_GoBack"/>
            <w:bookmarkEnd w:id="0"/>
          </w:p>
          <w:p w14:paraId="556A32B5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62829CF" w14:textId="77777777" w:rsidR="00E96C7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DD8E528" w14:textId="77777777" w:rsidR="00E96C7D" w:rsidRPr="008076AD" w:rsidRDefault="00E96C7D" w:rsidP="007E72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74DC0C24" w14:textId="77777777" w:rsidR="00E96C7D" w:rsidRDefault="00E96C7D" w:rsidP="007E72AD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течение </w:t>
            </w:r>
            <w:r w:rsidRPr="00C97E86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Двух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38CAAE66" w14:textId="77777777" w:rsidR="00E96C7D" w:rsidRPr="001F4AB1" w:rsidRDefault="00E96C7D" w:rsidP="007E72A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291597E" w14:textId="496F426D" w:rsidR="00E96C7D" w:rsidRPr="001F4AB1" w:rsidRDefault="00E96C7D" w:rsidP="007E72AD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2.2.1.1 Сумма денежных средств в размере ______ (_______) рублей, </w:t>
            </w:r>
            <w:r w:rsidR="002D3FC8" w:rsidRPr="002D3FC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выплачивается Покупателем за счёт собственных средств.</w:t>
            </w:r>
          </w:p>
          <w:p w14:paraId="2D2319D5" w14:textId="4C542F48" w:rsidR="00E96C7D" w:rsidRDefault="00E96C7D" w:rsidP="007E72A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</w:t>
            </w:r>
            <w:r w:rsidR="002D3FC8" w:rsidRPr="002D3FC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36A2B8CD" w14:textId="77777777" w:rsidR="00E96C7D" w:rsidRPr="00D94F08" w:rsidRDefault="00E96C7D" w:rsidP="007E72AD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Двух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  <w:p w14:paraId="1B9861B3" w14:textId="77777777" w:rsidR="00E96C7D" w:rsidRPr="001F4AB1" w:rsidRDefault="00E96C7D" w:rsidP="007E72A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FE8BF9B" w14:textId="54A6B545" w:rsidR="00E96C7D" w:rsidRPr="001F4AB1" w:rsidRDefault="00E96C7D" w:rsidP="007E72A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2.2.1.1 Сумма денежных средств в размере ______ (_______) рублей, </w:t>
            </w:r>
            <w:r w:rsidR="002D3FC8" w:rsidRPr="002D3FC8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Pr="001F4AB1">
              <w:rPr>
                <w:rFonts w:ascii="Verdana" w:hAnsi="Verdana"/>
                <w:sz w:val="20"/>
                <w:szCs w:val="20"/>
              </w:rPr>
              <w:t>, выплачивается Покупателем за счёт собственных средств.</w:t>
            </w:r>
          </w:p>
          <w:p w14:paraId="5F0B8442" w14:textId="1A850949" w:rsidR="00E96C7D" w:rsidRPr="00373E89" w:rsidRDefault="00E96C7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</w:t>
            </w:r>
            <w:r w:rsidR="002D3FC8" w:rsidRPr="002D3FC8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Pr="001F4AB1">
              <w:rPr>
                <w:rFonts w:ascii="Verdana" w:hAnsi="Verdana"/>
                <w:sz w:val="20"/>
                <w:szCs w:val="20"/>
              </w:rPr>
              <w:t>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2361B149" w14:textId="374E9339" w:rsidR="00DE0E51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5C72B9F0" w14:textId="77777777" w:rsidR="002D359B" w:rsidRPr="008509DF" w:rsidRDefault="002D359B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7DF53367" w:rsidR="003D002A" w:rsidRPr="000E254A" w:rsidRDefault="00E44495" w:rsidP="000E254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2D359B">
              <w:rPr>
                <w:rFonts w:ascii="Verdana" w:hAnsi="Verdana"/>
              </w:rPr>
              <w:t>726 300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2D359B">
              <w:rPr>
                <w:rFonts w:ascii="Verdana" w:hAnsi="Verdana"/>
                <w:i/>
                <w:color w:val="0070C0"/>
              </w:rPr>
              <w:t>Семьсот двадцать шесть тысяч триста</w:t>
            </w:r>
            <w:r w:rsidR="003D002A" w:rsidRPr="008076AD">
              <w:rPr>
                <w:rFonts w:ascii="Verdana" w:hAnsi="Verdana"/>
                <w:i/>
                <w:color w:val="0070C0"/>
              </w:rPr>
              <w:t>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1762C6">
              <w:rPr>
                <w:rFonts w:ascii="Verdana" w:hAnsi="Verdana"/>
                <w:color w:val="0070C0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0E254A">
              <w:rPr>
                <w:rFonts w:ascii="Verdana" w:hAnsi="Verdana"/>
                <w:i/>
                <w:color w:val="0070C0"/>
              </w:rPr>
              <w:t>),</w:t>
            </w:r>
            <w:r w:rsidR="003D002A" w:rsidRPr="000E254A">
              <w:rPr>
                <w:rFonts w:ascii="Verdana" w:hAnsi="Verdana"/>
                <w:color w:val="0070C0"/>
              </w:rPr>
              <w:t xml:space="preserve">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6F6F879" w14:textId="39E3E800" w:rsidR="00167E08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10F09F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42C204DB" w:rsidR="000A1317" w:rsidRPr="00D729C2" w:rsidRDefault="008F55DE" w:rsidP="002D359B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</w:t>
            </w:r>
            <w:r w:rsidR="00631F87">
              <w:rPr>
                <w:rFonts w:ascii="Verdana" w:hAnsi="Verdana"/>
              </w:rPr>
              <w:t>1</w:t>
            </w:r>
            <w:r w:rsidR="003F5FCD">
              <w:rPr>
                <w:rFonts w:ascii="Verdana" w:hAnsi="Verdana"/>
              </w:rPr>
              <w:t>.</w:t>
            </w:r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283B7A">
              <w:rPr>
                <w:rFonts w:ascii="Verdana" w:hAnsi="Verdana"/>
              </w:rPr>
              <w:t xml:space="preserve"> и </w:t>
            </w:r>
            <w:r w:rsidR="00283B7A" w:rsidRPr="00283B7A">
              <w:rPr>
                <w:rFonts w:ascii="Verdana" w:hAnsi="Verdana"/>
              </w:rPr>
              <w:t>поступления на расчетный счет Продавца денежных средств по Договору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6F165B7E" w:rsidR="000A1317" w:rsidRPr="008509DF" w:rsidRDefault="00C55B7E" w:rsidP="008361F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8361F0">
              <w:rPr>
                <w:rFonts w:ascii="Verdana" w:hAnsi="Verdana"/>
                <w:i/>
                <w:color w:val="FF0000"/>
              </w:rPr>
              <w:t xml:space="preserve"> и оплаты  кредитными средствами</w:t>
            </w:r>
            <w:r w:rsidR="00B536E2">
              <w:rPr>
                <w:rFonts w:ascii="Verdana" w:hAnsi="Verdana"/>
                <w:i/>
                <w:color w:val="FF0000"/>
              </w:rPr>
              <w:t>)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59FB554" w14:textId="77777777" w:rsidR="008361F0" w:rsidRDefault="008361F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AAF6C69" w14:textId="0076B8E4" w:rsidR="006A089B" w:rsidRPr="00167E08" w:rsidDel="006A089B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2D359B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2D35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D359B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67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6A089B" w:rsidRPr="006A089B" w14:paraId="5A02C68F" w14:textId="77777777" w:rsidTr="00621668">
        <w:trPr>
          <w:trHeight w:val="277"/>
        </w:trPr>
        <w:tc>
          <w:tcPr>
            <w:tcW w:w="9674" w:type="dxa"/>
          </w:tcPr>
          <w:p w14:paraId="2E2BFAD8" w14:textId="77777777" w:rsidR="00E96C7D" w:rsidRDefault="006A089B" w:rsidP="006A08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A089B">
              <w:rPr>
                <w:rFonts w:ascii="Verdana" w:hAnsi="Verdana" w:cs="Verdana"/>
                <w:color w:val="000000"/>
                <w:sz w:val="18"/>
                <w:szCs w:val="18"/>
              </w:rPr>
              <w:t>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      </w:r>
            <w:r w:rsidR="00E96C7D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  <w:p w14:paraId="76DEBCED" w14:textId="0CA4ED30" w:rsidR="006A089B" w:rsidRPr="006A089B" w:rsidRDefault="006A089B" w:rsidP="006A08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A089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0A58550" w14:textId="30BF0EE8" w:rsidR="00C8616B" w:rsidRPr="00DC223C" w:rsidRDefault="00A24C91" w:rsidP="00DC223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78964EE0" w14:textId="161AF5A4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0E6B7F2" w14:textId="785298D5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</w:t>
            </w:r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даты поступления на расчетный счет Продавца денежных средств по Договору в полном объеме;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816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2116AA" w:rsidRPr="008509DF" w14:paraId="7919BCC5" w14:textId="77777777" w:rsidTr="00D05072">
        <w:tc>
          <w:tcPr>
            <w:tcW w:w="2269" w:type="dxa"/>
          </w:tcPr>
          <w:p w14:paraId="027EE8DB" w14:textId="6DD34F8B" w:rsidR="002116AA" w:rsidRPr="008509DF" w:rsidRDefault="002116AA" w:rsidP="002116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59B7BEA6" w14:textId="5E9F8B85" w:rsidR="002116AA" w:rsidRPr="00672CCD" w:rsidRDefault="002116AA" w:rsidP="002116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10FBEB61" w:rsidR="00CE777E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628B99" w14:textId="77777777" w:rsidR="002116AA" w:rsidRDefault="002116AA" w:rsidP="002116A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2B8196EC" w14:textId="77777777" w:rsidR="002116AA" w:rsidRPr="008509DF" w:rsidRDefault="002116AA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D9A1A51" w:rsidR="00C42EB6" w:rsidRPr="00A94BE8" w:rsidRDefault="00C42EB6" w:rsidP="00312B5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50F526AD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16F48299" w:rsidR="00167E08" w:rsidRPr="008076AD" w:rsidRDefault="00C42EB6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1762C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1762C6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19B4125" w14:textId="7A32DF88" w:rsidR="00515D9C" w:rsidRDefault="00515D9C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021A1706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116A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 номинальный счет/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1DF9C26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44E97DF8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6A2C8A8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5E9EE9A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4B91532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A8207C1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1678076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9E882D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4BB015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5A5C5D0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2BB44B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E105C2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5B08ABD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23164C4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758B91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6CFB9B9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D1C5BF5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8F33E98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16590B0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6C9EA1B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ED79912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E37DA8B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7113400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AFFF86C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A100EFB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681BAF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73D3C18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6FC784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3BC73FB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3EBBAE0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A2C7F2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22F0939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E1C2DB7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62CF7DD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973B31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D5C057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3F06C7B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893862A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4CE3BD7" w14:textId="77777777" w:rsidR="00E96C7D" w:rsidRDefault="00E96C7D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56003" w14:textId="6484C6DF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176712C4" w14:textId="77777777" w:rsidR="00E96C7D" w:rsidRDefault="00E96C7D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F00A56E" w14:textId="5E30F655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7820E89" w14:textId="77777777" w:rsidR="00A42719" w:rsidRPr="00763A96" w:rsidRDefault="00DD5861" w:rsidP="001762C6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763A9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EEA257B" w14:textId="3F8D2E07" w:rsidR="001762C6" w:rsidRPr="00312B59" w:rsidRDefault="002D359B" w:rsidP="00312B59">
      <w:pPr>
        <w:pStyle w:val="a5"/>
        <w:numPr>
          <w:ilvl w:val="1"/>
          <w:numId w:val="36"/>
        </w:numPr>
        <w:ind w:left="0" w:firstLine="426"/>
        <w:jc w:val="both"/>
        <w:rPr>
          <w:rFonts w:ascii="Verdana" w:hAnsi="Verdana" w:cs="Arial"/>
        </w:rPr>
      </w:pPr>
      <w:r w:rsidRPr="00153AD8">
        <w:rPr>
          <w:rFonts w:ascii="Verdana" w:hAnsi="Verdana"/>
          <w:color w:val="000000" w:themeColor="text1"/>
        </w:rPr>
        <w:t xml:space="preserve">Нежилое помещение, общей площадью 283,4 кв. м. находящееся по адресу: Республика Коми, г Ухта, </w:t>
      </w:r>
      <w:proofErr w:type="spellStart"/>
      <w:r w:rsidRPr="00153AD8">
        <w:rPr>
          <w:rFonts w:ascii="Verdana" w:hAnsi="Verdana"/>
          <w:color w:val="000000" w:themeColor="text1"/>
        </w:rPr>
        <w:t>пр-кт</w:t>
      </w:r>
      <w:proofErr w:type="spellEnd"/>
      <w:r>
        <w:rPr>
          <w:rFonts w:ascii="Verdana" w:hAnsi="Verdana"/>
          <w:color w:val="000000" w:themeColor="text1"/>
        </w:rPr>
        <w:t>.</w:t>
      </w:r>
      <w:r w:rsidRPr="00153AD8">
        <w:rPr>
          <w:rFonts w:ascii="Verdana" w:hAnsi="Verdana"/>
          <w:color w:val="000000" w:themeColor="text1"/>
        </w:rPr>
        <w:t xml:space="preserve"> А. И. </w:t>
      </w:r>
      <w:proofErr w:type="spellStart"/>
      <w:r w:rsidRPr="00153AD8">
        <w:rPr>
          <w:rFonts w:ascii="Verdana" w:hAnsi="Verdana"/>
          <w:color w:val="000000" w:themeColor="text1"/>
        </w:rPr>
        <w:t>Зерюнова</w:t>
      </w:r>
      <w:proofErr w:type="spellEnd"/>
      <w:r w:rsidRPr="00153AD8">
        <w:rPr>
          <w:rFonts w:ascii="Verdana" w:hAnsi="Verdana"/>
          <w:color w:val="000000" w:themeColor="text1"/>
        </w:rPr>
        <w:t>, д 6. КН: 11:20:0605002:1266</w:t>
      </w:r>
      <w:r w:rsidR="001762C6" w:rsidRPr="00312B59">
        <w:rPr>
          <w:rFonts w:ascii="Verdana" w:hAnsi="Verdana"/>
          <w:color w:val="000000" w:themeColor="text1"/>
        </w:rPr>
        <w:t>;</w:t>
      </w:r>
    </w:p>
    <w:p w14:paraId="09126DA8" w14:textId="506F3F3F" w:rsidR="00DD5861" w:rsidRPr="008509DF" w:rsidRDefault="00DD5861" w:rsidP="001762C6">
      <w:pPr>
        <w:tabs>
          <w:tab w:val="left" w:pos="-284"/>
          <w:tab w:val="left" w:pos="851"/>
        </w:tabs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3574C7F" w:rsidR="00DD5861" w:rsidRDefault="00DD5861" w:rsidP="001762C6">
      <w:pPr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271E7E81" w14:textId="77777777" w:rsidR="001762C6" w:rsidRPr="008509DF" w:rsidRDefault="001762C6" w:rsidP="001762C6">
      <w:pPr>
        <w:widowControl w:val="0"/>
        <w:tabs>
          <w:tab w:val="left" w:pos="-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1762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918DEB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2001" w:rsidRPr="0055668A" w14:paraId="6B81B57E" w14:textId="77777777" w:rsidTr="00E34122">
        <w:tc>
          <w:tcPr>
            <w:tcW w:w="2411" w:type="dxa"/>
            <w:shd w:val="clear" w:color="auto" w:fill="auto"/>
          </w:tcPr>
          <w:p w14:paraId="265FA076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9B9899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1539F53C" w14:textId="77777777" w:rsidR="00C52001" w:rsidRPr="0055668A" w:rsidRDefault="00C52001" w:rsidP="00E34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C52001" w:rsidRPr="0055668A" w14:paraId="1AFB9A9B" w14:textId="77777777" w:rsidTr="00E34122">
        <w:tc>
          <w:tcPr>
            <w:tcW w:w="2411" w:type="dxa"/>
            <w:shd w:val="clear" w:color="auto" w:fill="auto"/>
          </w:tcPr>
          <w:p w14:paraId="6A1C938A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554FD35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882BF90" w14:textId="77777777" w:rsidR="00C52001" w:rsidRPr="0055668A" w:rsidRDefault="00C52001" w:rsidP="00E341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BFCEF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AF3D34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DB68FB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2116AA">
        <w:rPr>
          <w:rFonts w:ascii="Arial" w:hAnsi="Arial" w:cs="Arial"/>
          <w:color w:val="333333"/>
          <w:shd w:val="clear" w:color="auto" w:fill="FFFFFF"/>
        </w:rPr>
        <w:t>30101810345250000635</w:t>
      </w:r>
      <w:r w:rsidRPr="000C2791">
        <w:rPr>
          <w:rFonts w:ascii="Verdana" w:hAnsi="Verdana"/>
          <w:i/>
          <w:color w:val="0070C0"/>
        </w:rPr>
        <w:t>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0DEC623E" w14:textId="46EE3391" w:rsidR="00C25CED" w:rsidRPr="00C25CED" w:rsidRDefault="00C25CED" w:rsidP="00E96C7D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C25CED">
        <w:rPr>
          <w:rFonts w:ascii="Verdana" w:eastAsia="Times New Roman" w:hAnsi="Verdana" w:cs="Times New Roman"/>
          <w:sz w:val="20"/>
          <w:szCs w:val="20"/>
          <w:lang w:eastAsia="ru-RU"/>
        </w:rPr>
        <w:t>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</w:t>
      </w:r>
    </w:p>
    <w:p w14:paraId="282F3AAA" w14:textId="4081AF9A" w:rsidR="00686D08" w:rsidRPr="008509DF" w:rsidRDefault="00C25CED" w:rsidP="00E96C7D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C25CED">
        <w:rPr>
          <w:rFonts w:ascii="Verdana" w:eastAsia="Times New Roman" w:hAnsi="Verdana" w:cs="Times New Roman"/>
          <w:sz w:val="20"/>
          <w:szCs w:val="20"/>
          <w:lang w:eastAsia="ru-RU"/>
        </w:rPr>
        <w:t>- оригинал выписки из ЕГРН подтверждающей государственную регистрацию перехода права собственности Покупателя;</w:t>
      </w:r>
    </w:p>
    <w:p w14:paraId="36EA5590" w14:textId="65DBBF26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CEAD877" w14:textId="72E3DC75" w:rsidR="00C42EB6" w:rsidRPr="002116AA" w:rsidRDefault="00C42EB6" w:rsidP="00823927">
      <w:pPr>
        <w:pStyle w:val="a5"/>
        <w:numPr>
          <w:ilvl w:val="0"/>
          <w:numId w:val="7"/>
        </w:numPr>
        <w:ind w:left="709"/>
        <w:jc w:val="both"/>
        <w:rPr>
          <w:rFonts w:ascii="Verdana" w:hAnsi="Verdana"/>
        </w:rPr>
      </w:pPr>
      <w:r w:rsidRPr="002116AA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823927" w:rsidRDefault="00C42EB6" w:rsidP="00823927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23927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823927" w:rsidRDefault="00C42EB6" w:rsidP="00823927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823927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495CBE7" w:rsidR="00686D08" w:rsidRPr="00823927" w:rsidRDefault="00C42EB6" w:rsidP="00823927">
      <w:pPr>
        <w:pStyle w:val="a5"/>
        <w:numPr>
          <w:ilvl w:val="0"/>
          <w:numId w:val="35"/>
        </w:numPr>
        <w:ind w:left="709"/>
        <w:jc w:val="both"/>
        <w:rPr>
          <w:rFonts w:ascii="Verdana" w:hAnsi="Verdana"/>
        </w:rPr>
      </w:pPr>
      <w:r w:rsidRPr="002116AA">
        <w:rPr>
          <w:rFonts w:ascii="Verdana" w:hAnsi="Verdana"/>
        </w:rPr>
        <w:t xml:space="preserve"> Расчеты по аккредитиву регулируются </w:t>
      </w:r>
      <w:r w:rsidR="002116AA" w:rsidRPr="002116AA">
        <w:rPr>
          <w:rFonts w:ascii="Verdana" w:hAnsi="Verdana"/>
        </w:rPr>
        <w:t>законодательством Российской Федерации</w:t>
      </w:r>
      <w:r w:rsidRPr="002116AA">
        <w:rPr>
          <w:rFonts w:ascii="Verdana" w:hAnsi="Verdana"/>
        </w:rPr>
        <w:t>.</w:t>
      </w:r>
    </w:p>
    <w:p w14:paraId="2F70B433" w14:textId="060A775D" w:rsidR="00686D08" w:rsidRPr="008509DF" w:rsidRDefault="00686D08" w:rsidP="002116AA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3CB7" w14:textId="77777777" w:rsidR="00E9656A" w:rsidRDefault="00E9656A" w:rsidP="00E33D4F">
      <w:pPr>
        <w:spacing w:after="0" w:line="240" w:lineRule="auto"/>
      </w:pPr>
      <w:r>
        <w:separator/>
      </w:r>
    </w:p>
  </w:endnote>
  <w:endnote w:type="continuationSeparator" w:id="0">
    <w:p w14:paraId="5B52C27C" w14:textId="77777777" w:rsidR="00E9656A" w:rsidRDefault="00E9656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924BBBB" w:rsidR="006C6181" w:rsidRDefault="006C61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18">
          <w:rPr>
            <w:noProof/>
          </w:rPr>
          <w:t>6</w:t>
        </w:r>
        <w:r>
          <w:fldChar w:fldCharType="end"/>
        </w:r>
      </w:p>
    </w:sdtContent>
  </w:sdt>
  <w:p w14:paraId="0AC1054C" w14:textId="77777777" w:rsidR="006C6181" w:rsidRDefault="006C6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2BBF" w14:textId="77777777" w:rsidR="00E9656A" w:rsidRDefault="00E9656A" w:rsidP="00E33D4F">
      <w:pPr>
        <w:spacing w:after="0" w:line="240" w:lineRule="auto"/>
      </w:pPr>
      <w:r>
        <w:separator/>
      </w:r>
    </w:p>
  </w:footnote>
  <w:footnote w:type="continuationSeparator" w:id="0">
    <w:p w14:paraId="2B95ACD5" w14:textId="77777777" w:rsidR="00E9656A" w:rsidRDefault="00E9656A" w:rsidP="00E33D4F">
      <w:pPr>
        <w:spacing w:after="0" w:line="240" w:lineRule="auto"/>
      </w:pPr>
      <w:r>
        <w:continuationSeparator/>
      </w:r>
    </w:p>
  </w:footnote>
  <w:footnote w:id="1">
    <w:p w14:paraId="72488A93" w14:textId="77777777" w:rsidR="00E96C7D" w:rsidRPr="00120657" w:rsidRDefault="00E96C7D" w:rsidP="00E96C7D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63F912D3" w14:textId="77777777" w:rsidR="00E96C7D" w:rsidRPr="00120657" w:rsidRDefault="00E96C7D" w:rsidP="00E96C7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6C6181" w:rsidRPr="00D03FB6" w:rsidRDefault="006C618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C6181" w:rsidRPr="00D03FB6" w:rsidRDefault="006C618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6C6181" w:rsidRPr="008070A5" w:rsidRDefault="006C618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2E7471D0" w14:textId="5859A82C" w:rsidR="00AF3D34" w:rsidRDefault="00AF3D34">
      <w:pPr>
        <w:pStyle w:val="af2"/>
      </w:pPr>
      <w:r>
        <w:rPr>
          <w:rStyle w:val="af4"/>
        </w:rPr>
        <w:footnoteRef/>
      </w:r>
      <w:r>
        <w:t xml:space="preserve"> </w:t>
      </w:r>
      <w:r w:rsidRPr="00AF3D34"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EF0A0CA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D912FF5"/>
    <w:multiLevelType w:val="hybridMultilevel"/>
    <w:tmpl w:val="0B4A599C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6" w15:restartNumberingAfterBreak="0">
    <w:nsid w:val="489D65EB"/>
    <w:multiLevelType w:val="multilevel"/>
    <w:tmpl w:val="7982DB64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cstheme="minorBidi" w:hint="default"/>
        <w:color w:val="000000" w:themeColor="text1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594054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multilevel"/>
    <w:tmpl w:val="48D69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2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6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27"/>
  </w:num>
  <w:num w:numId="18">
    <w:abstractNumId w:val="13"/>
  </w:num>
  <w:num w:numId="19">
    <w:abstractNumId w:val="7"/>
  </w:num>
  <w:num w:numId="20">
    <w:abstractNumId w:val="21"/>
  </w:num>
  <w:num w:numId="21">
    <w:abstractNumId w:val="14"/>
  </w:num>
  <w:num w:numId="22">
    <w:abstractNumId w:val="17"/>
  </w:num>
  <w:num w:numId="23">
    <w:abstractNumId w:val="9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8"/>
  </w:num>
  <w:num w:numId="29">
    <w:abstractNumId w:val="34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4E16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1F0E"/>
    <w:rsid w:val="000223BA"/>
    <w:rsid w:val="000262EF"/>
    <w:rsid w:val="000270FE"/>
    <w:rsid w:val="00030EF1"/>
    <w:rsid w:val="00032CB8"/>
    <w:rsid w:val="000351E6"/>
    <w:rsid w:val="00035F6E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D57B8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20E1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55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62C6"/>
    <w:rsid w:val="001776FD"/>
    <w:rsid w:val="00180028"/>
    <w:rsid w:val="0018029B"/>
    <w:rsid w:val="00181128"/>
    <w:rsid w:val="00181180"/>
    <w:rsid w:val="0018165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290B"/>
    <w:rsid w:val="001B37CE"/>
    <w:rsid w:val="001C19BE"/>
    <w:rsid w:val="001C2235"/>
    <w:rsid w:val="001C4321"/>
    <w:rsid w:val="001C503F"/>
    <w:rsid w:val="001C7960"/>
    <w:rsid w:val="001D1DA4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5EE9"/>
    <w:rsid w:val="001E61F0"/>
    <w:rsid w:val="001E6B80"/>
    <w:rsid w:val="001F1859"/>
    <w:rsid w:val="001F2D9B"/>
    <w:rsid w:val="001F4445"/>
    <w:rsid w:val="0020177F"/>
    <w:rsid w:val="002021CA"/>
    <w:rsid w:val="0020454D"/>
    <w:rsid w:val="00205E52"/>
    <w:rsid w:val="00207200"/>
    <w:rsid w:val="002108E6"/>
    <w:rsid w:val="002116AA"/>
    <w:rsid w:val="00211F7A"/>
    <w:rsid w:val="002136DD"/>
    <w:rsid w:val="00213B72"/>
    <w:rsid w:val="00214157"/>
    <w:rsid w:val="002151D2"/>
    <w:rsid w:val="00216518"/>
    <w:rsid w:val="00217BCB"/>
    <w:rsid w:val="00217C52"/>
    <w:rsid w:val="00217D3B"/>
    <w:rsid w:val="0022013D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359B"/>
    <w:rsid w:val="002D3FC8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B59"/>
    <w:rsid w:val="00312C68"/>
    <w:rsid w:val="00321064"/>
    <w:rsid w:val="0032754A"/>
    <w:rsid w:val="0033460B"/>
    <w:rsid w:val="00334661"/>
    <w:rsid w:val="00334C80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70031"/>
    <w:rsid w:val="0037118C"/>
    <w:rsid w:val="0037350E"/>
    <w:rsid w:val="00373E89"/>
    <w:rsid w:val="00381D74"/>
    <w:rsid w:val="00386377"/>
    <w:rsid w:val="00386EFE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3D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E32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3F28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6602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42AB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609C"/>
    <w:rsid w:val="00526430"/>
    <w:rsid w:val="00527B30"/>
    <w:rsid w:val="0053008B"/>
    <w:rsid w:val="00530B22"/>
    <w:rsid w:val="00537346"/>
    <w:rsid w:val="0054117F"/>
    <w:rsid w:val="00542717"/>
    <w:rsid w:val="0054280C"/>
    <w:rsid w:val="00545918"/>
    <w:rsid w:val="00550A24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2BBA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0A9A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1668"/>
    <w:rsid w:val="00623666"/>
    <w:rsid w:val="00624B6E"/>
    <w:rsid w:val="00631F87"/>
    <w:rsid w:val="00634B19"/>
    <w:rsid w:val="00641589"/>
    <w:rsid w:val="00645BF6"/>
    <w:rsid w:val="00646D39"/>
    <w:rsid w:val="0065299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089B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181"/>
    <w:rsid w:val="006D0FD3"/>
    <w:rsid w:val="006D112A"/>
    <w:rsid w:val="006D2116"/>
    <w:rsid w:val="006D2BCC"/>
    <w:rsid w:val="006D37AE"/>
    <w:rsid w:val="006D4BDE"/>
    <w:rsid w:val="006D6F37"/>
    <w:rsid w:val="006D7D35"/>
    <w:rsid w:val="006E2D5D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AEE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D67"/>
    <w:rsid w:val="00724FD5"/>
    <w:rsid w:val="00727F00"/>
    <w:rsid w:val="00727FF3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A96"/>
    <w:rsid w:val="00763D7B"/>
    <w:rsid w:val="00764281"/>
    <w:rsid w:val="0076568D"/>
    <w:rsid w:val="007704CD"/>
    <w:rsid w:val="00773D72"/>
    <w:rsid w:val="00774E5A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C73CF"/>
    <w:rsid w:val="007D0813"/>
    <w:rsid w:val="007D0A4F"/>
    <w:rsid w:val="007D2ACC"/>
    <w:rsid w:val="007D31CB"/>
    <w:rsid w:val="007D430D"/>
    <w:rsid w:val="007D77EF"/>
    <w:rsid w:val="007E1265"/>
    <w:rsid w:val="007E3F40"/>
    <w:rsid w:val="007E4C88"/>
    <w:rsid w:val="007E570B"/>
    <w:rsid w:val="007E6711"/>
    <w:rsid w:val="007F0EB4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D36"/>
    <w:rsid w:val="00816F49"/>
    <w:rsid w:val="00817A51"/>
    <w:rsid w:val="00820352"/>
    <w:rsid w:val="00823927"/>
    <w:rsid w:val="00823E72"/>
    <w:rsid w:val="008248EF"/>
    <w:rsid w:val="00825F9E"/>
    <w:rsid w:val="00826653"/>
    <w:rsid w:val="00830C4B"/>
    <w:rsid w:val="00832AFB"/>
    <w:rsid w:val="00834104"/>
    <w:rsid w:val="008361F0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2AB7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2719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4137"/>
    <w:rsid w:val="00A77877"/>
    <w:rsid w:val="00A80F6F"/>
    <w:rsid w:val="00A81BE4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59AC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3D34"/>
    <w:rsid w:val="00AF5974"/>
    <w:rsid w:val="00B012C3"/>
    <w:rsid w:val="00B01E0E"/>
    <w:rsid w:val="00B03BF7"/>
    <w:rsid w:val="00B0456E"/>
    <w:rsid w:val="00B04710"/>
    <w:rsid w:val="00B0523F"/>
    <w:rsid w:val="00B075D1"/>
    <w:rsid w:val="00B12FEC"/>
    <w:rsid w:val="00B13C17"/>
    <w:rsid w:val="00B14DED"/>
    <w:rsid w:val="00B1538F"/>
    <w:rsid w:val="00B15C81"/>
    <w:rsid w:val="00B17901"/>
    <w:rsid w:val="00B203E8"/>
    <w:rsid w:val="00B27138"/>
    <w:rsid w:val="00B27649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F00"/>
    <w:rsid w:val="00B51299"/>
    <w:rsid w:val="00B52CBF"/>
    <w:rsid w:val="00B536E2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76F5F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6D26"/>
    <w:rsid w:val="00BE7168"/>
    <w:rsid w:val="00BE71F0"/>
    <w:rsid w:val="00BF0CE0"/>
    <w:rsid w:val="00BF33AD"/>
    <w:rsid w:val="00BF3FCD"/>
    <w:rsid w:val="00BF5638"/>
    <w:rsid w:val="00BF6F41"/>
    <w:rsid w:val="00BF736E"/>
    <w:rsid w:val="00C0013A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5CED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2001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0476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5B37"/>
    <w:rsid w:val="00CB6567"/>
    <w:rsid w:val="00CB7202"/>
    <w:rsid w:val="00CB783A"/>
    <w:rsid w:val="00CB7E62"/>
    <w:rsid w:val="00CC0059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2DD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6EAA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2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ACD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656A"/>
    <w:rsid w:val="00E96C7D"/>
    <w:rsid w:val="00E973AD"/>
    <w:rsid w:val="00EA308F"/>
    <w:rsid w:val="00EA57EA"/>
    <w:rsid w:val="00EA6860"/>
    <w:rsid w:val="00EA7B8A"/>
    <w:rsid w:val="00EA7D4E"/>
    <w:rsid w:val="00EB078E"/>
    <w:rsid w:val="00EB0A78"/>
    <w:rsid w:val="00EB17DA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6A3B-04D4-4443-A787-FF971B57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Блохин Юрий Владимирович</cp:lastModifiedBy>
  <cp:revision>9</cp:revision>
  <cp:lastPrinted>2019-10-21T13:14:00Z</cp:lastPrinted>
  <dcterms:created xsi:type="dcterms:W3CDTF">2022-03-02T11:02:00Z</dcterms:created>
  <dcterms:modified xsi:type="dcterms:W3CDTF">2022-04-06T12:25:00Z</dcterms:modified>
</cp:coreProperties>
</file>