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7895D3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E32A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BC8FE75" w:rsidR="00CC3B0A" w:rsidRPr="00224F8A" w:rsidRDefault="00CC3B0A" w:rsidP="004A51F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88CB52F" w14:textId="77777777" w:rsidR="003F4D00" w:rsidRPr="00AF721D" w:rsidDel="003F4D00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</w:p>
    <w:p w14:paraId="390FA730" w14:textId="77777777" w:rsidR="003F4D00" w:rsidRPr="00224F8A" w:rsidRDefault="003F4D00" w:rsidP="003F4D00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3F4D00" w:rsidRPr="00224F8A" w14:paraId="5EDE9BBD" w14:textId="77777777" w:rsidTr="007C46DD">
        <w:tc>
          <w:tcPr>
            <w:tcW w:w="6969" w:type="dxa"/>
          </w:tcPr>
          <w:p w14:paraId="288DB17C" w14:textId="77777777" w:rsidR="003F4D00" w:rsidRPr="00224F8A" w:rsidRDefault="003F4D00" w:rsidP="007C46DD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F4D00" w:rsidRPr="00224F8A" w14:paraId="14CA3603" w14:textId="77777777" w:rsidTr="007C46DD">
        <w:trPr>
          <w:trHeight w:val="224"/>
        </w:trPr>
        <w:tc>
          <w:tcPr>
            <w:tcW w:w="6969" w:type="dxa"/>
          </w:tcPr>
          <w:p w14:paraId="1D099C9F" w14:textId="77777777" w:rsidR="003F4D00" w:rsidRPr="00224F8A" w:rsidRDefault="003F4D00" w:rsidP="007C46D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649A5A85" w14:textId="3AE1C20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DA2B67">
        <w:tc>
          <w:tcPr>
            <w:tcW w:w="9634" w:type="dxa"/>
            <w:vAlign w:val="center"/>
          </w:tcPr>
          <w:p w14:paraId="43AEBCAF" w14:textId="7A366662" w:rsidR="00DA4150" w:rsidRDefault="00FB2C79" w:rsidP="00FB2C79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FB2C79">
              <w:rPr>
                <w:rFonts w:ascii="Verdana" w:hAnsi="Verdana"/>
                <w:iCs/>
                <w:sz w:val="18"/>
                <w:szCs w:val="18"/>
              </w:rPr>
              <w:t>Нежилое помещение площадью 143,7 кв. м, этаж: 2, кадастровый номер: 63:09:0302051:3483, адрес: Самарская область, г. Тольятти, ул. Базовая, д. 4А, пом. 1.</w:t>
            </w:r>
          </w:p>
          <w:p w14:paraId="6D3757E3" w14:textId="4AD60081" w:rsidR="002C5BF5" w:rsidRDefault="00FB2C79" w:rsidP="002C5BF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2C79">
              <w:rPr>
                <w:rFonts w:ascii="Verdana" w:hAnsi="Verdana"/>
                <w:sz w:val="18"/>
                <w:szCs w:val="18"/>
              </w:rPr>
              <w:t>Доля в размере ½ в праве общей долевой собственности на нежилое помещение общей площадью 28,1 кв. м (этаж: 2, комнаты №№ 2, 4, 5, 7), кадастровый номер: 63:09:0302051:3484, адрес: Самарская область, г. Тольятти, ул. Базовая, д. 4А, ком. 2,4,5,7</w:t>
            </w:r>
            <w:r w:rsidR="002C5BF5">
              <w:rPr>
                <w:rFonts w:ascii="Verdana" w:hAnsi="Verdana"/>
                <w:sz w:val="18"/>
                <w:szCs w:val="18"/>
              </w:rPr>
              <w:t>,</w:t>
            </w:r>
          </w:p>
          <w:p w14:paraId="04105066" w14:textId="01E94637" w:rsidR="002C5BF5" w:rsidRPr="00FB2C79" w:rsidRDefault="002C5BF5" w:rsidP="002C5BF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2C79">
              <w:rPr>
                <w:rFonts w:ascii="Verdana" w:hAnsi="Verdana"/>
              </w:rPr>
              <w:t xml:space="preserve"> (далее именуемое – «недвижимое имущество»)</w:t>
            </w:r>
            <w:r w:rsidRPr="00FB2C79">
              <w:rPr>
                <w:rFonts w:ascii="Verdana" w:hAnsi="Verdana"/>
                <w:sz w:val="18"/>
                <w:szCs w:val="18"/>
              </w:rPr>
              <w:t>,</w:t>
            </w:r>
          </w:p>
          <w:p w14:paraId="307E42C8" w14:textId="2C88DB79" w:rsidR="007F30DB" w:rsidRDefault="007F30DB" w:rsidP="00FB2C79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22B59C" w14:textId="71FB4827" w:rsidR="00515F5D" w:rsidRPr="00B84F4C" w:rsidRDefault="00A86094" w:rsidP="00B84F4C">
            <w:pPr>
              <w:pStyle w:val="a5"/>
              <w:jc w:val="both"/>
              <w:rPr>
                <w:rFonts w:ascii="Verdana" w:hAnsi="Verdana"/>
                <w:i/>
                <w:color w:val="0070C0"/>
              </w:rPr>
            </w:pPr>
            <w:r w:rsidRPr="00FB2C79" w:rsidDel="00A8609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F30DB" w:rsidRPr="00645BF6" w14:paraId="6DF6D060" w14:textId="77777777" w:rsidTr="00DA2B67">
        <w:tc>
          <w:tcPr>
            <w:tcW w:w="9634" w:type="dxa"/>
            <w:vAlign w:val="center"/>
          </w:tcPr>
          <w:p w14:paraId="617C05C9" w14:textId="77777777" w:rsidR="007F30DB" w:rsidRPr="00FD68EC" w:rsidRDefault="007F30DB" w:rsidP="00DA4150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15F5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11E0503F" w14:textId="77777777" w:rsidR="00515F5D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515F5D" w:rsidRPr="00645BF6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0F8F7C5" w14:textId="75FB8531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p w14:paraId="5290D4ED" w14:textId="6EADB243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4097AC6A" w:rsidR="00AF721D" w:rsidRDefault="00AF721D" w:rsidP="00FB2C79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715CF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515F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ежилое помещение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FB2C7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Решения Автозаводского районного суда г. Тольятти Самарской области по гражданскому делу № 2-3572/2017 от 07.04.2017, дата вступления в законную силу: 16.05.2017; Выписка из протокола от 24.04.2019 №21Т; Письмо от 29.04.2019,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 чем в Едином государственном реестре недвижимости сделана запись о </w:t>
            </w:r>
            <w:r w:rsidR="00187C96" w:rsidRPr="001E1CE5">
              <w:rPr>
                <w:rFonts w:ascii="Verdana" w:hAnsi="Verdana"/>
                <w:i/>
                <w:color w:val="0070C0"/>
                <w:sz w:val="20"/>
                <w:szCs w:val="20"/>
              </w:rPr>
              <w:t>государственной регистрации права Собственности</w:t>
            </w:r>
            <w:r w:rsidR="00187C9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№ </w:t>
            </w:r>
            <w:r w:rsidR="00FB2C79">
              <w:rPr>
                <w:rFonts w:ascii="Verdana" w:hAnsi="Verdana"/>
                <w:i/>
                <w:color w:val="0070C0"/>
                <w:sz w:val="20"/>
                <w:szCs w:val="20"/>
              </w:rPr>
              <w:t>63:09:0302051:3483-63/009/2019-2 от 12.11.2019</w:t>
            </w:r>
            <w:r w:rsidR="00187C9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B7418B">
              <w:rPr>
                <w:rFonts w:ascii="Verdana" w:hAnsi="Verdana"/>
                <w:i/>
                <w:color w:val="0070C0"/>
                <w:sz w:val="20"/>
                <w:szCs w:val="20"/>
              </w:rPr>
              <w:t>10.12</w:t>
            </w:r>
            <w:r w:rsidR="00515F5D" w:rsidRPr="00515F5D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  <w:r w:rsidR="00B7418B">
              <w:rPr>
                <w:rFonts w:ascii="Verdana" w:hAnsi="Verdana"/>
                <w:i/>
                <w:color w:val="0070C0"/>
                <w:sz w:val="20"/>
                <w:szCs w:val="20"/>
              </w:rPr>
              <w:t>2020</w:t>
            </w:r>
            <w:r w:rsidR="00515F5D" w:rsidRPr="00515F5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№ </w:t>
            </w:r>
            <w:r w:rsidR="00B7418B" w:rsidRPr="00B7418B">
              <w:rPr>
                <w:rFonts w:ascii="Verdana" w:hAnsi="Verdana"/>
                <w:i/>
                <w:color w:val="0070C0"/>
                <w:sz w:val="20"/>
                <w:szCs w:val="20"/>
              </w:rPr>
              <w:t>99/2020/365113198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26FF5D84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</w:t>
            </w:r>
          </w:p>
        </w:tc>
      </w:tr>
    </w:tbl>
    <w:p w14:paraId="121C5402" w14:textId="3C10D23D" w:rsidR="00D911F0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43DB5" w:rsidRPr="00224F8A" w14:paraId="5A6DAD04" w14:textId="77777777" w:rsidTr="00B84F4C">
        <w:tc>
          <w:tcPr>
            <w:tcW w:w="9498" w:type="dxa"/>
          </w:tcPr>
          <w:p w14:paraId="5BA16A08" w14:textId="710E7C81" w:rsidR="00843DB5" w:rsidRPr="00224F8A" w:rsidRDefault="00843DB5" w:rsidP="00843DB5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B7418B">
              <w:rPr>
                <w:rFonts w:ascii="Verdana" w:hAnsi="Verdana"/>
                <w:color w:val="000000" w:themeColor="text1"/>
                <w:sz w:val="20"/>
                <w:szCs w:val="20"/>
              </w:rPr>
              <w:t>Д</w:t>
            </w:r>
            <w:r w:rsidR="00B7418B" w:rsidRPr="00B7418B">
              <w:rPr>
                <w:rFonts w:ascii="Verdana" w:hAnsi="Verdana"/>
                <w:color w:val="000000" w:themeColor="text1"/>
                <w:sz w:val="20"/>
                <w:szCs w:val="20"/>
              </w:rPr>
              <w:t>оля в размере ½ в праве общей долевой собственности на нежилое помещение принадлежит Продавцу на праве собственности на основании Решения Автозаводского районного суда г. Тольятти Самарской области по гражданскому делу № 2-3572/2017 от 07.04.2017, дата вступления в законную силу: 16.05.2017; Выписка из протокола от 24.04.2019 №21Т; Письмо от 29.04.2019, о чем в Едином государственном реестре недвижимости сделана запись о государственной регистрации права Соб</w:t>
            </w:r>
            <w:r w:rsidR="00B7418B">
              <w:rPr>
                <w:rFonts w:ascii="Verdana" w:hAnsi="Verdana"/>
                <w:color w:val="000000" w:themeColor="text1"/>
                <w:sz w:val="20"/>
                <w:szCs w:val="20"/>
              </w:rPr>
              <w:t>ственности, № 63:09:0302051:3484</w:t>
            </w:r>
            <w:r w:rsidR="00B7418B" w:rsidRPr="00B7418B">
              <w:rPr>
                <w:rFonts w:ascii="Verdana" w:hAnsi="Verdana"/>
                <w:color w:val="000000" w:themeColor="text1"/>
                <w:sz w:val="20"/>
                <w:szCs w:val="20"/>
              </w:rPr>
              <w:t>-63/009/2019-2 от 12.11.2019, что подтверждается Выпиской из Единого государстве</w:t>
            </w:r>
            <w:r w:rsidR="00B7418B">
              <w:rPr>
                <w:rFonts w:ascii="Verdana" w:hAnsi="Verdana"/>
                <w:color w:val="000000" w:themeColor="text1"/>
                <w:sz w:val="20"/>
                <w:szCs w:val="20"/>
              </w:rPr>
              <w:t>нного реестра недвижимости от 07</w:t>
            </w:r>
            <w:r w:rsidR="00B7418B" w:rsidRPr="00B7418B">
              <w:rPr>
                <w:rFonts w:ascii="Verdana" w:hAnsi="Verdana"/>
                <w:color w:val="000000" w:themeColor="text1"/>
                <w:sz w:val="20"/>
                <w:szCs w:val="20"/>
              </w:rPr>
              <w:t>.12.2020 № 99/2020/364532749.</w:t>
            </w:r>
          </w:p>
        </w:tc>
      </w:tr>
      <w:tr w:rsidR="00843DB5" w:rsidRPr="00224F8A" w14:paraId="7ADCBFAA" w14:textId="77777777" w:rsidTr="00B84F4C">
        <w:tc>
          <w:tcPr>
            <w:tcW w:w="9498" w:type="dxa"/>
          </w:tcPr>
          <w:p w14:paraId="3C9352D0" w14:textId="77777777" w:rsidR="00843DB5" w:rsidRPr="00224F8A" w:rsidRDefault="00843DB5" w:rsidP="007C46DD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(сведения вносятся в полном соответствии с Договором аренды земельного участка,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6C5E520A" w14:textId="0CF81367" w:rsidR="00843DB5" w:rsidRPr="008509DF" w:rsidRDefault="00843DB5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 xml:space="preserve">1.2.1. </w:t>
      </w:r>
      <w:r w:rsidR="00B7418B" w:rsidRPr="00B7418B">
        <w:rPr>
          <w:rFonts w:ascii="Verdana" w:hAnsi="Verdana"/>
          <w:color w:val="000000" w:themeColor="text1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4B36260E" w14:textId="62BDCC4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75ECFE9" w14:textId="7C64BFC5" w:rsidR="008C6495" w:rsidRPr="00224F8A" w:rsidRDefault="008C6495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lastRenderedPageBreak/>
              <w:t xml:space="preserve">1.5. На дату подписания Договора недвижимое имущество не отчуждено, не заложено, в споре и под арестом не состоит, права </w:t>
            </w:r>
            <w:r w:rsidRPr="00224F8A">
              <w:rPr>
                <w:rFonts w:ascii="Verdana" w:hAnsi="Verdana"/>
                <w:sz w:val="20"/>
                <w:szCs w:val="20"/>
              </w:rPr>
              <w:lastRenderedPageBreak/>
              <w:t xml:space="preserve">на недвижимое имущество не являются предметом судебного спора. </w:t>
            </w:r>
          </w:p>
          <w:p w14:paraId="18D5B26F" w14:textId="4929531A" w:rsidR="008C6495" w:rsidRPr="008F51CC" w:rsidRDefault="00072336" w:rsidP="00B7418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>не обременено правами третьих лиц</w:t>
            </w:r>
            <w:r w:rsidR="00B7418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2B980D4B" w14:textId="77D30A1E" w:rsidR="00092300" w:rsidRDefault="00092300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lastRenderedPageBreak/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</w:rPr>
        <w:t xml:space="preserve"> </w:t>
      </w:r>
      <w:r w:rsidRPr="00F763D0">
        <w:rPr>
          <w:rFonts w:ascii="Verdana" w:hAnsi="Verdana"/>
          <w:b/>
          <w:color w:val="000000" w:themeColor="text1"/>
        </w:rPr>
        <w:t xml:space="preserve">в том числе </w:t>
      </w:r>
      <w:r w:rsidRPr="00F763D0">
        <w:rPr>
          <w:rFonts w:ascii="Verdana" w:hAnsi="Verdana"/>
          <w:b/>
        </w:rPr>
        <w:t xml:space="preserve">по </w:t>
      </w:r>
      <w:r w:rsidR="00EC5372">
        <w:rPr>
          <w:rFonts w:ascii="Verdana" w:hAnsi="Verdana"/>
          <w:b/>
        </w:rPr>
        <w:t xml:space="preserve">земельным </w:t>
      </w:r>
      <w:r>
        <w:rPr>
          <w:rFonts w:ascii="Verdana" w:hAnsi="Verdana"/>
          <w:b/>
        </w:rPr>
        <w:t>отношениям в отношении з</w:t>
      </w:r>
      <w:r w:rsidRPr="00F763D0">
        <w:rPr>
          <w:rFonts w:ascii="Verdana" w:hAnsi="Verdana"/>
          <w:b/>
        </w:rPr>
        <w:t>емельного участка</w:t>
      </w:r>
      <w:r w:rsidRPr="00F763D0">
        <w:rPr>
          <w:rFonts w:ascii="Verdana" w:hAnsi="Verdana"/>
          <w:b/>
          <w:color w:val="000000" w:themeColor="text1"/>
        </w:rPr>
        <w:t>,</w:t>
      </w:r>
      <w:r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1C52DE" w14:textId="77777777" w:rsidR="00177D7D" w:rsidRDefault="006D496F" w:rsidP="004E32A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6D496F">
        <w:rPr>
          <w:rFonts w:ascii="Verdana" w:hAnsi="Verdana"/>
        </w:rPr>
        <w:t>Стоимость недвижимого имущества</w:t>
      </w:r>
      <w:r w:rsidR="00177D7D">
        <w:rPr>
          <w:rFonts w:ascii="Verdana" w:hAnsi="Verdana"/>
        </w:rPr>
        <w:t>:</w:t>
      </w:r>
    </w:p>
    <w:p w14:paraId="2159E7AD" w14:textId="078C0E1D" w:rsidR="00177D7D" w:rsidRDefault="00B7418B" w:rsidP="00177D7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 Нежилого помещения площадью 143,7</w:t>
      </w:r>
      <w:r w:rsidR="00177D7D" w:rsidRPr="00177D7D">
        <w:rPr>
          <w:rFonts w:ascii="Verdana" w:hAnsi="Verdana"/>
        </w:rPr>
        <w:t xml:space="preserve"> кв. м, кадастровый номер </w:t>
      </w:r>
      <w:r w:rsidRPr="00B7418B">
        <w:rPr>
          <w:rFonts w:ascii="Verdana" w:hAnsi="Verdana"/>
        </w:rPr>
        <w:t>63:09:0302051:3483</w:t>
      </w:r>
      <w:r w:rsidR="00177D7D" w:rsidRPr="00177D7D">
        <w:rPr>
          <w:rFonts w:ascii="Verdana" w:hAnsi="Verdana"/>
        </w:rPr>
        <w:t xml:space="preserve">, расположенное по адресу: </w:t>
      </w:r>
      <w:r w:rsidRPr="00B7418B">
        <w:rPr>
          <w:rFonts w:ascii="Verdana" w:hAnsi="Verdana"/>
        </w:rPr>
        <w:t>Самарская область, г. Толья</w:t>
      </w:r>
      <w:r>
        <w:rPr>
          <w:rFonts w:ascii="Verdana" w:hAnsi="Verdana"/>
        </w:rPr>
        <w:t xml:space="preserve">тти, ул. Базовая, д. 4А, пом. 1 </w:t>
      </w:r>
      <w:r w:rsidR="00250ECA" w:rsidRPr="00250ECA">
        <w:rPr>
          <w:rFonts w:ascii="Verdana" w:hAnsi="Verdana"/>
        </w:rPr>
        <w:t>составляет ______________________ (__________________) рублей ___ копеек (в том числе НДС, исчисленный в соответствии с действующим законодательством)</w:t>
      </w:r>
      <w:r w:rsidR="00177D7D">
        <w:rPr>
          <w:rFonts w:ascii="Verdana" w:hAnsi="Verdana"/>
        </w:rPr>
        <w:t>;</w:t>
      </w:r>
    </w:p>
    <w:p w14:paraId="516994A5" w14:textId="5F4382B3" w:rsidR="000E3328" w:rsidRDefault="00177D7D" w:rsidP="00177D7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B7418B" w:rsidRPr="00B7418B">
        <w:rPr>
          <w:rFonts w:ascii="Verdana" w:hAnsi="Verdana"/>
        </w:rPr>
        <w:t>Доля в размере ½ в праве общей долевой собственности на нежилое помещение общей площадью 28,1 кв. м (этаж: 2, комнаты №№ 2, 4, 5, 7), кадастровый номер: 63:09:0302051:3484, адрес: Самарская область, г. Тольятти, у</w:t>
      </w:r>
      <w:r w:rsidR="00B7418B">
        <w:rPr>
          <w:rFonts w:ascii="Verdana" w:hAnsi="Verdana"/>
        </w:rPr>
        <w:t>л. Базовая, д. 4А, ком. 2,4,5,7</w:t>
      </w:r>
      <w:r>
        <w:rPr>
          <w:rFonts w:ascii="Verdana" w:hAnsi="Verdana"/>
        </w:rPr>
        <w:t xml:space="preserve"> </w:t>
      </w:r>
      <w:r w:rsidRPr="00250ECA">
        <w:rPr>
          <w:rFonts w:ascii="Verdana" w:hAnsi="Verdana"/>
        </w:rPr>
        <w:t>составляет ______________________ (__________________) рублей ___ копеек (в том числе НДС, исчисленный в соответствии с действующим законодательством)</w:t>
      </w:r>
      <w:r>
        <w:rPr>
          <w:rFonts w:ascii="Verdana" w:hAnsi="Verdana"/>
        </w:rPr>
        <w:t>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A88CC4F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</w:t>
            </w:r>
            <w:r w:rsidR="0083095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EA04D02" w14:textId="73984F0A" w:rsidR="0045359C" w:rsidRPr="00CC4FFD" w:rsidRDefault="00EF619B" w:rsidP="00CC4FFD">
            <w:pPr>
              <w:pStyle w:val="a5"/>
              <w:numPr>
                <w:ilvl w:val="2"/>
                <w:numId w:val="27"/>
              </w:numPr>
              <w:adjustRightInd w:val="0"/>
              <w:ind w:left="750"/>
              <w:jc w:val="both"/>
              <w:rPr>
                <w:rFonts w:ascii="Verdana" w:hAnsi="Verdana"/>
                <w:i/>
                <w:color w:val="0070C0"/>
              </w:rPr>
            </w:pPr>
            <w:r w:rsidRPr="00B84F4C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D72973" w:rsidRPr="00B84F4C">
              <w:rPr>
                <w:rFonts w:ascii="Verdana" w:hAnsi="Verdana"/>
                <w:i/>
                <w:color w:val="0070C0"/>
              </w:rPr>
              <w:t>20</w:t>
            </w:r>
            <w:r w:rsidRPr="00B84F4C">
              <w:rPr>
                <w:rFonts w:ascii="Verdana" w:hAnsi="Verdana"/>
                <w:i/>
                <w:color w:val="0070C0"/>
              </w:rPr>
              <w:t xml:space="preserve"> (</w:t>
            </w:r>
            <w:r w:rsidR="00D72973" w:rsidRPr="00B84F4C">
              <w:rPr>
                <w:rFonts w:ascii="Verdana" w:hAnsi="Verdana"/>
                <w:i/>
                <w:color w:val="0070C0"/>
              </w:rPr>
              <w:t>двадцати</w:t>
            </w:r>
            <w:r w:rsidRPr="00B84F4C">
              <w:rPr>
                <w:rFonts w:ascii="Verdana" w:hAnsi="Verdana"/>
                <w:i/>
                <w:color w:val="0070C0"/>
              </w:rPr>
              <w:t>)</w:t>
            </w:r>
            <w:r w:rsidRPr="00B84F4C">
              <w:rPr>
                <w:rFonts w:ascii="Verdana" w:hAnsi="Verdana"/>
                <w:i/>
                <w:color w:val="0070C0"/>
                <w:vertAlign w:val="superscript"/>
              </w:rPr>
              <w:t>1</w:t>
            </w:r>
            <w:r w:rsidRPr="00B84F4C">
              <w:rPr>
                <w:rFonts w:ascii="Verdana" w:hAnsi="Verdana"/>
                <w:i/>
                <w:color w:val="0070C0"/>
              </w:rPr>
              <w:t xml:space="preserve"> рабочих дней с</w:t>
            </w:r>
            <w:r w:rsidRPr="00B84F4C">
              <w:rPr>
                <w:rFonts w:ascii="Verdana" w:hAnsi="Verdana"/>
              </w:rPr>
              <w:t xml:space="preserve"> даты подписания Договора</w:t>
            </w:r>
            <w:r w:rsidR="00370031" w:rsidRPr="00B84F4C">
              <w:rPr>
                <w:rFonts w:ascii="Verdana" w:hAnsi="Verdana"/>
              </w:rPr>
              <w:t xml:space="preserve"> Покупатель </w:t>
            </w:r>
            <w:r w:rsidR="00181128" w:rsidRPr="00B84F4C">
              <w:rPr>
                <w:rFonts w:ascii="Verdana" w:hAnsi="Verdana"/>
              </w:rPr>
              <w:t>откры</w:t>
            </w:r>
            <w:r w:rsidR="00370031" w:rsidRPr="00B84F4C">
              <w:rPr>
                <w:rFonts w:ascii="Verdana" w:hAnsi="Verdana"/>
              </w:rPr>
              <w:t>вает</w:t>
            </w:r>
            <w:r w:rsidR="00181128" w:rsidRPr="00B84F4C">
              <w:rPr>
                <w:rFonts w:ascii="Verdana" w:hAnsi="Verdana"/>
              </w:rPr>
              <w:t xml:space="preserve"> аккредитив на условиях</w:t>
            </w:r>
            <w:r w:rsidR="00370031" w:rsidRPr="00B84F4C">
              <w:rPr>
                <w:rFonts w:ascii="Verdana" w:hAnsi="Verdana"/>
              </w:rPr>
              <w:t>,</w:t>
            </w:r>
            <w:r w:rsidR="00181128" w:rsidRPr="00B84F4C">
              <w:rPr>
                <w:rFonts w:ascii="Verdana" w:hAnsi="Verdana"/>
              </w:rPr>
              <w:t xml:space="preserve"> изложенных в </w:t>
            </w:r>
            <w:r w:rsidR="00764281" w:rsidRPr="00B84F4C">
              <w:rPr>
                <w:rFonts w:ascii="Verdana" w:hAnsi="Verdana"/>
              </w:rPr>
              <w:t>П</w:t>
            </w:r>
            <w:r w:rsidR="00181128" w:rsidRPr="00B84F4C">
              <w:rPr>
                <w:rFonts w:ascii="Verdana" w:hAnsi="Verdana"/>
              </w:rPr>
              <w:t>риложении №</w:t>
            </w:r>
            <w:r w:rsidR="002F7FC1" w:rsidRPr="00B84F4C">
              <w:rPr>
                <w:rFonts w:ascii="Verdana" w:hAnsi="Verdana"/>
                <w:color w:val="0070C0"/>
              </w:rPr>
              <w:t>___</w:t>
            </w:r>
            <w:r w:rsidR="00181128" w:rsidRPr="00B84F4C">
              <w:rPr>
                <w:rFonts w:ascii="Verdana" w:hAnsi="Verdana"/>
              </w:rPr>
              <w:t xml:space="preserve"> к Договору, на </w:t>
            </w:r>
            <w:r w:rsidR="00F8488D" w:rsidRPr="00B84F4C">
              <w:rPr>
                <w:rFonts w:ascii="Verdana" w:hAnsi="Verdana"/>
              </w:rPr>
              <w:t>ц</w:t>
            </w:r>
            <w:r w:rsidR="00B71921" w:rsidRPr="00B84F4C">
              <w:rPr>
                <w:rFonts w:ascii="Verdana" w:hAnsi="Verdana"/>
              </w:rPr>
              <w:t>ен</w:t>
            </w:r>
            <w:r w:rsidR="00181128" w:rsidRPr="00B84F4C">
              <w:rPr>
                <w:rFonts w:ascii="Verdana" w:hAnsi="Verdana"/>
              </w:rPr>
              <w:t xml:space="preserve">у недвижимого имущества </w:t>
            </w:r>
            <w:r w:rsidR="00B71921" w:rsidRPr="00B84F4C">
              <w:rPr>
                <w:rFonts w:ascii="Verdana" w:hAnsi="Verdana"/>
              </w:rPr>
              <w:t>в размере</w:t>
            </w:r>
            <w:r w:rsidRPr="00B84F4C">
              <w:rPr>
                <w:rFonts w:ascii="Verdana" w:hAnsi="Verdana"/>
                <w:i/>
                <w:color w:val="0070C0"/>
                <w:vertAlign w:val="superscript"/>
              </w:rPr>
              <w:t>2</w:t>
            </w:r>
            <w:r w:rsidR="00B71921" w:rsidRPr="00B84F4C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84F4C">
              <w:rPr>
                <w:rFonts w:ascii="Verdana" w:hAnsi="Verdana"/>
              </w:rPr>
              <w:t xml:space="preserve">рублей </w:t>
            </w:r>
            <w:r w:rsidR="00B71921" w:rsidRPr="00B84F4C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84F4C">
              <w:rPr>
                <w:rFonts w:ascii="Verdana" w:hAnsi="Verdana"/>
              </w:rPr>
              <w:t xml:space="preserve">копеек </w:t>
            </w:r>
            <w:r w:rsidR="00B71921" w:rsidRPr="00B84F4C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830952">
              <w:rPr>
                <w:rFonts w:ascii="Verdana" w:hAnsi="Verdana"/>
                <w:i/>
                <w:color w:val="0070C0"/>
              </w:rPr>
              <w:t>онодательством</w:t>
            </w:r>
            <w:r w:rsidR="00B71921" w:rsidRPr="00B84F4C">
              <w:rPr>
                <w:rFonts w:ascii="Verdana" w:hAnsi="Verdana"/>
                <w:i/>
                <w:color w:val="0070C0"/>
              </w:rPr>
              <w:t xml:space="preserve">) </w:t>
            </w:r>
          </w:p>
          <w:p w14:paraId="06B7099E" w14:textId="77777777" w:rsidR="0045359C" w:rsidRPr="001F4AB1" w:rsidRDefault="0045359C" w:rsidP="0045359C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6F8953E" w14:textId="097879AB" w:rsidR="0045359C" w:rsidRPr="001F4AB1" w:rsidRDefault="0045359C" w:rsidP="0045359C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</w:t>
            </w:r>
            <w:r w:rsidR="00177D7D" w:rsidRPr="00177D7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="00177D7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C55B6" w:rsidRPr="00B84F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выплачивается Покупателем за счёт собственных средств.</w:t>
            </w:r>
          </w:p>
          <w:p w14:paraId="74B80BD9" w14:textId="46A11F98" w:rsidR="0045359C" w:rsidRPr="00B84F4C" w:rsidRDefault="0045359C" w:rsidP="004A6853">
            <w:pPr>
              <w:adjustRightInd w:val="0"/>
              <w:jc w:val="both"/>
              <w:rPr>
                <w:rFonts w:ascii="Verdana" w:hAnsi="Verdana"/>
              </w:rPr>
            </w:pPr>
            <w:r w:rsidRPr="00B84F4C">
              <w:rPr>
                <w:rFonts w:ascii="Verdana" w:hAnsi="Verdana"/>
                <w:color w:val="000000" w:themeColor="text1"/>
              </w:rPr>
              <w:t>2.2.1.2. Сумма денежных средств в размере _______ (______) рублей __ копеек, (</w:t>
            </w:r>
            <w:r w:rsidR="00177D7D" w:rsidRPr="00177D7D">
              <w:rPr>
                <w:rFonts w:ascii="Verdana" w:hAnsi="Verdana"/>
                <w:color w:val="000000" w:themeColor="text1"/>
              </w:rPr>
              <w:t>в том числе НДС, исчисленный в соответствии с действующим законодательством</w:t>
            </w:r>
            <w:r w:rsidR="00177D7D">
              <w:rPr>
                <w:rFonts w:ascii="Verdana" w:hAnsi="Verdana"/>
                <w:color w:val="000000" w:themeColor="text1"/>
              </w:rPr>
              <w:t xml:space="preserve"> </w:t>
            </w:r>
            <w:r w:rsidR="004A6853" w:rsidRPr="00B84F4C">
              <w:rPr>
                <w:rFonts w:ascii="Verdana" w:hAnsi="Verdana"/>
                <w:color w:val="000000" w:themeColor="text1"/>
              </w:rPr>
              <w:t>_______</w:t>
            </w:r>
            <w:r w:rsidRPr="00B84F4C">
              <w:rPr>
                <w:rFonts w:ascii="Verdana" w:hAnsi="Verdana"/>
                <w:color w:val="000000" w:themeColor="text1"/>
              </w:rPr>
              <w:t xml:space="preserve">), уплачивается Покупателем Продавцу за счет </w:t>
            </w:r>
            <w:r w:rsidRPr="00B84F4C">
              <w:rPr>
                <w:rFonts w:ascii="Verdana" w:hAnsi="Verdana"/>
                <w:color w:val="000000" w:themeColor="text1"/>
              </w:rPr>
              <w:lastRenderedPageBreak/>
              <w:t>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имущество.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lastRenderedPageBreak/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5BFFA24C" w:rsidR="00891CDE" w:rsidRPr="008C63A5" w:rsidRDefault="00891CDE" w:rsidP="00ED04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BECB476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</w:t>
            </w:r>
            <w:r w:rsidR="001170BF">
              <w:rPr>
                <w:rFonts w:ascii="Verdana" w:hAnsi="Verdana"/>
                <w:sz w:val="20"/>
                <w:szCs w:val="20"/>
              </w:rPr>
              <w:t>2</w:t>
            </w:r>
            <w:r w:rsidRPr="008C63A5">
              <w:rPr>
                <w:rFonts w:ascii="Verdana" w:hAnsi="Verdana"/>
                <w:sz w:val="20"/>
                <w:szCs w:val="20"/>
              </w:rPr>
              <w:t>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47F13034" w14:textId="49AA958C" w:rsidR="009C0584" w:rsidRPr="001F4AB1" w:rsidRDefault="009C0584" w:rsidP="009C058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0AD31961" w14:textId="60D5FBDA" w:rsidR="009C0584" w:rsidRPr="001F4AB1" w:rsidRDefault="009C0584" w:rsidP="009C058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</w:t>
            </w:r>
            <w:r w:rsidR="00177D7D" w:rsidRPr="00177D7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A6853" w:rsidRPr="00B84F4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выплачивается Покупателем за счёт собственных средств.</w:t>
            </w:r>
          </w:p>
          <w:p w14:paraId="2403C27B" w14:textId="58032F75" w:rsidR="00891CDE" w:rsidRPr="008C63A5" w:rsidRDefault="009C0584" w:rsidP="009C058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="0083095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(в т. ч.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номинальный счет ООО «Центр недвижимости от Сбербанка» (ООО «ЦНС»)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после государственной регистрации перехода права собственности на недвижимое имущество.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014F67AF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B7418B">
              <w:rPr>
                <w:rFonts w:ascii="Verdana" w:hAnsi="Verdana"/>
                <w:i/>
                <w:color w:val="0070C0"/>
              </w:rPr>
              <w:t xml:space="preserve">155 800 </w:t>
            </w:r>
            <w:r w:rsidR="006D496F">
              <w:rPr>
                <w:rFonts w:ascii="Verdana" w:hAnsi="Verdana"/>
                <w:i/>
                <w:color w:val="0070C0"/>
              </w:rPr>
              <w:t>(</w:t>
            </w:r>
            <w:r w:rsidR="00B7418B">
              <w:rPr>
                <w:rFonts w:ascii="Verdana" w:hAnsi="Verdana"/>
                <w:i/>
                <w:color w:val="0070C0"/>
              </w:rPr>
              <w:t>сто</w:t>
            </w:r>
            <w:r w:rsidR="003D4D6F">
              <w:rPr>
                <w:rFonts w:ascii="Verdana" w:hAnsi="Verdana"/>
                <w:i/>
                <w:color w:val="0070C0"/>
              </w:rPr>
              <w:t xml:space="preserve"> пя</w:t>
            </w:r>
            <w:r w:rsidR="00B7418B">
              <w:rPr>
                <w:rFonts w:ascii="Verdana" w:hAnsi="Verdana"/>
                <w:i/>
                <w:color w:val="0070C0"/>
              </w:rPr>
              <w:t>тьдесят</w:t>
            </w:r>
            <w:r w:rsidR="003D4D6F">
              <w:rPr>
                <w:rFonts w:ascii="Verdana" w:hAnsi="Verdana"/>
                <w:i/>
                <w:color w:val="0070C0"/>
              </w:rPr>
              <w:t xml:space="preserve"> пять тысяч восемьсот</w:t>
            </w:r>
            <w:r w:rsidRPr="008076AD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6D496F">
              <w:rPr>
                <w:rFonts w:ascii="Verdana" w:hAnsi="Verdana"/>
                <w:color w:val="0070C0"/>
              </w:rPr>
              <w:t>00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830952">
              <w:rPr>
                <w:rFonts w:ascii="Verdana" w:hAnsi="Verdana"/>
                <w:i/>
                <w:color w:val="0070C0"/>
              </w:rPr>
              <w:t>онодательством</w:t>
            </w:r>
            <w:r w:rsidRPr="008076AD">
              <w:rPr>
                <w:rFonts w:ascii="Verdana" w:hAnsi="Verdana"/>
                <w:i/>
                <w:color w:val="0070C0"/>
              </w:rPr>
              <w:t>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582BD1E4" w14:textId="68D4327A" w:rsidR="00D16ED6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FA15C32" w14:textId="50E8BA9B" w:rsidR="0004164B" w:rsidRPr="008509DF" w:rsidRDefault="0004164B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4164B"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2CAAB91F" w14:textId="1B91BEB1" w:rsidR="000A1317" w:rsidRPr="008509DF" w:rsidRDefault="00570498" w:rsidP="00213757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  <w:r w:rsidRPr="00570498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Pr="00570498">
              <w:rPr>
                <w:i/>
                <w:color w:val="FF0000"/>
                <w:sz w:val="20"/>
                <w:szCs w:val="20"/>
              </w:rPr>
              <w:t>При оплате кредитными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14D32200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416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4164B" w:rsidRPr="000416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02CC28C1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04164B" w:rsidRPr="00804A05">
              <w:rPr>
                <w:rFonts w:ascii="Verdana" w:hAnsi="Verdana"/>
              </w:rPr>
              <w:t>6</w:t>
            </w:r>
            <w:r w:rsidR="000A1317" w:rsidRPr="008076AD">
              <w:rPr>
                <w:rFonts w:ascii="Verdana" w:hAnsi="Verdana"/>
              </w:rPr>
              <w:t>.</w:t>
            </w:r>
            <w:r w:rsidR="0004164B" w:rsidRPr="00804A05">
              <w:rPr>
                <w:rFonts w:ascii="Verdana" w:hAnsi="Verdana"/>
              </w:rPr>
              <w:t>1</w:t>
            </w:r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2CECA705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D5995D2" w14:textId="037DEED6" w:rsidR="0057512B" w:rsidDel="0057512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 xml:space="preserve">поступления на расчетный счет Продавца </w:t>
      </w:r>
      <w:r w:rsidR="00145554" w:rsidRPr="0057512B">
        <w:rPr>
          <w:rFonts w:ascii="Verdana" w:hAnsi="Verdana" w:cs="Verdana"/>
          <w:color w:val="000000"/>
          <w:sz w:val="18"/>
          <w:szCs w:val="18"/>
        </w:rPr>
        <w:t>денежных средств по Договору в полном объеме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4"/>
      </w:tblGrid>
      <w:tr w:rsidR="0057512B" w:rsidRPr="0057512B" w14:paraId="3C5A54F0" w14:textId="77777777">
        <w:trPr>
          <w:trHeight w:val="87"/>
        </w:trPr>
        <w:tc>
          <w:tcPr>
            <w:tcW w:w="4614" w:type="dxa"/>
          </w:tcPr>
          <w:p w14:paraId="20D5924D" w14:textId="61F15CB1" w:rsidR="0057512B" w:rsidRPr="0057512B" w:rsidRDefault="0057512B" w:rsidP="0057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00A58550" w14:textId="56D77E18" w:rsidR="00C8616B" w:rsidRDefault="00AF721D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41362E46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 xml:space="preserve">, </w:t>
      </w:r>
      <w:r w:rsidR="003706F3" w:rsidRPr="003706F3">
        <w:rPr>
          <w:rFonts w:eastAsia="Times New Roman" w:cs="Times New Roman"/>
          <w:color w:val="auto"/>
          <w:sz w:val="20"/>
          <w:szCs w:val="20"/>
          <w:lang w:eastAsia="ru-RU"/>
        </w:rPr>
        <w:t>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651159FD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237C6D">
              <w:t xml:space="preserve"> </w:t>
            </w:r>
            <w:r w:rsidR="00237C6D" w:rsidRPr="00237C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поступления на расчетный счет Продавца денежных средств по Договору в полном объеме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AF394F8" w:rsidR="00073672" w:rsidRPr="001C1460" w:rsidRDefault="00237C6D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10 </w:t>
            </w:r>
            <w:r w:rsidR="007C4792"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дес</w:t>
            </w:r>
            <w:r w:rsidR="007C479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яти</w:t>
            </w:r>
            <w:r w:rsidR="007C4792"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4F0F5300" w:rsidR="00566401" w:rsidRDefault="00237C6D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10 </w:t>
            </w:r>
            <w:r w:rsidR="007C4792"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дес</w:t>
            </w:r>
            <w:r w:rsidR="007C479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яти</w:t>
            </w:r>
            <w:r w:rsidR="005420C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66EE62EC" w14:textId="77777777" w:rsidR="003D4D6F" w:rsidRPr="003D4D6F" w:rsidRDefault="003D4D6F" w:rsidP="003D4D6F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3D4D6F">
              <w:rPr>
                <w:rFonts w:ascii="Verdana" w:hAnsi="Verdana"/>
                <w:sz w:val="18"/>
                <w:szCs w:val="18"/>
              </w:rPr>
              <w:t>-</w:t>
            </w:r>
            <w:r w:rsidRPr="003D4D6F">
              <w:rPr>
                <w:rFonts w:ascii="Verdana" w:hAnsi="Verdana"/>
                <w:sz w:val="18"/>
                <w:szCs w:val="18"/>
              </w:rPr>
              <w:tab/>
              <w:t>Нежилое помещение площадью 143,7 кв. м, этаж: 2, кадастровый номер: 63:09:0302051:3483, адрес: Самарская область, г. Тольятти, ул. Базовая, д. 4А, пом. 1.</w:t>
            </w:r>
          </w:p>
          <w:p w14:paraId="0E71336F" w14:textId="6255DBFD" w:rsidR="00515F5D" w:rsidRDefault="003D4D6F" w:rsidP="003D4D6F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D4D6F">
              <w:rPr>
                <w:rFonts w:ascii="Verdana" w:hAnsi="Verdana"/>
                <w:sz w:val="18"/>
                <w:szCs w:val="18"/>
              </w:rPr>
              <w:t>-</w:t>
            </w:r>
            <w:r w:rsidRPr="003D4D6F">
              <w:rPr>
                <w:rFonts w:ascii="Verdana" w:hAnsi="Verdana"/>
                <w:sz w:val="18"/>
                <w:szCs w:val="18"/>
              </w:rPr>
              <w:tab/>
              <w:t>Доля в размере ½ в праве общей долевой собственности на нежилое помещение общей площадью 28,1 кв. м (этаж: 2, комнаты №№ 2, 4, 5, 7), кадастровый номер: 63:09:0302051:3484, адрес: Самарская область, г. Тольятти, ул. Базовая, д. 4А, ком. 2,4,5,7.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43E1035" w14:textId="77777777" w:rsidR="00975948" w:rsidRPr="00DE4A80" w:rsidDel="00975948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975948" w:rsidRPr="0055668A" w14:paraId="499B8634" w14:textId="77777777" w:rsidTr="00F81539">
        <w:tc>
          <w:tcPr>
            <w:tcW w:w="2411" w:type="dxa"/>
            <w:shd w:val="clear" w:color="auto" w:fill="auto"/>
          </w:tcPr>
          <w:p w14:paraId="7C0078C6" w14:textId="77777777" w:rsidR="00975948" w:rsidRPr="0055668A" w:rsidRDefault="00975948" w:rsidP="00F8153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926349F" w14:textId="77777777" w:rsidR="00975948" w:rsidRPr="0055668A" w:rsidRDefault="00975948" w:rsidP="00F8153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09BD98CC" w14:textId="77777777" w:rsidR="00975948" w:rsidRPr="0055668A" w:rsidRDefault="00975948" w:rsidP="00F81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975948" w:rsidRPr="0055668A" w14:paraId="4FCDEF98" w14:textId="77777777" w:rsidTr="00F81539">
        <w:tc>
          <w:tcPr>
            <w:tcW w:w="2411" w:type="dxa"/>
            <w:shd w:val="clear" w:color="auto" w:fill="auto"/>
          </w:tcPr>
          <w:p w14:paraId="6E78464A" w14:textId="77777777" w:rsidR="00975948" w:rsidRPr="0055668A" w:rsidRDefault="00975948" w:rsidP="00F8153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172D7714" w14:textId="77777777" w:rsidR="00975948" w:rsidRPr="0055668A" w:rsidRDefault="00975948" w:rsidP="00F8153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63DE6D9" w14:textId="77777777" w:rsidR="00975948" w:rsidRPr="0055668A" w:rsidRDefault="00975948" w:rsidP="00F815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19F0063D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lastRenderedPageBreak/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12C087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23660" w:rsidRPr="00923660" w14:paraId="0F78FACE" w14:textId="77777777" w:rsidTr="00B84F4C">
        <w:trPr>
          <w:trHeight w:val="717"/>
        </w:trPr>
        <w:tc>
          <w:tcPr>
            <w:tcW w:w="9464" w:type="dxa"/>
          </w:tcPr>
          <w:p w14:paraId="1210DE2B" w14:textId="77777777" w:rsidR="00923660" w:rsidRPr="00923660" w:rsidRDefault="00923660" w:rsidP="0092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366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 </w:t>
            </w:r>
          </w:p>
          <w:p w14:paraId="2C27D73D" w14:textId="77777777" w:rsidR="00923660" w:rsidRPr="00923660" w:rsidRDefault="00923660" w:rsidP="0092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3660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оригинал выписки из ЕГРН подтверждающей государственную регистрацию перехода права собственности Покупателя; </w:t>
            </w:r>
          </w:p>
        </w:tc>
      </w:tr>
    </w:tbl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6953E7A6" w14:textId="6A1C06D1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423B0B0" w14:textId="129999EF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2A4C23B" w14:textId="7179ACBB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B1D0" w14:textId="77777777" w:rsidR="000B78AC" w:rsidRDefault="000B78AC" w:rsidP="00E33D4F">
      <w:pPr>
        <w:spacing w:after="0" w:line="240" w:lineRule="auto"/>
      </w:pPr>
      <w:r>
        <w:separator/>
      </w:r>
    </w:p>
  </w:endnote>
  <w:endnote w:type="continuationSeparator" w:id="0">
    <w:p w14:paraId="4F1A527A" w14:textId="77777777" w:rsidR="000B78AC" w:rsidRDefault="000B78A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56EF2BA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952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D44DA" w14:textId="77777777" w:rsidR="000B78AC" w:rsidRDefault="000B78AC" w:rsidP="00E33D4F">
      <w:pPr>
        <w:spacing w:after="0" w:line="240" w:lineRule="auto"/>
      </w:pPr>
      <w:r>
        <w:separator/>
      </w:r>
    </w:p>
  </w:footnote>
  <w:footnote w:type="continuationSeparator" w:id="0">
    <w:p w14:paraId="37955514" w14:textId="77777777" w:rsidR="000B78AC" w:rsidRDefault="000B78AC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164B"/>
    <w:rsid w:val="00046C89"/>
    <w:rsid w:val="00046D8F"/>
    <w:rsid w:val="00046E6A"/>
    <w:rsid w:val="00046F99"/>
    <w:rsid w:val="00052CA6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300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B78AC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170BF"/>
    <w:rsid w:val="00120657"/>
    <w:rsid w:val="00121172"/>
    <w:rsid w:val="00121483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45554"/>
    <w:rsid w:val="00147C83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77D7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C3E"/>
    <w:rsid w:val="00185E3D"/>
    <w:rsid w:val="00187C96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757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37C6D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0ECA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8B0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5BF5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3EF2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0800"/>
    <w:rsid w:val="0033460B"/>
    <w:rsid w:val="00334661"/>
    <w:rsid w:val="00336C56"/>
    <w:rsid w:val="00336D98"/>
    <w:rsid w:val="00341A58"/>
    <w:rsid w:val="00341BE1"/>
    <w:rsid w:val="00341DF2"/>
    <w:rsid w:val="00342A7C"/>
    <w:rsid w:val="0034333C"/>
    <w:rsid w:val="00344D65"/>
    <w:rsid w:val="00344E14"/>
    <w:rsid w:val="00351FB3"/>
    <w:rsid w:val="00354486"/>
    <w:rsid w:val="003546A4"/>
    <w:rsid w:val="00361D47"/>
    <w:rsid w:val="003629D2"/>
    <w:rsid w:val="003677C6"/>
    <w:rsid w:val="00367ED6"/>
    <w:rsid w:val="00370031"/>
    <w:rsid w:val="003706F3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03B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B7131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4D6F"/>
    <w:rsid w:val="003D75C2"/>
    <w:rsid w:val="003D7B76"/>
    <w:rsid w:val="003D7FC5"/>
    <w:rsid w:val="003E26A0"/>
    <w:rsid w:val="003E2C11"/>
    <w:rsid w:val="003E358D"/>
    <w:rsid w:val="003E6D7D"/>
    <w:rsid w:val="003E6D9A"/>
    <w:rsid w:val="003E7F0D"/>
    <w:rsid w:val="003F3676"/>
    <w:rsid w:val="003F428E"/>
    <w:rsid w:val="003F4D00"/>
    <w:rsid w:val="003F7EC6"/>
    <w:rsid w:val="0040125A"/>
    <w:rsid w:val="004025E6"/>
    <w:rsid w:val="00410A63"/>
    <w:rsid w:val="004125E9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359C"/>
    <w:rsid w:val="00454D8D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0DE0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51FC"/>
    <w:rsid w:val="004A608B"/>
    <w:rsid w:val="004A6853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32A8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0C0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4500"/>
    <w:rsid w:val="00566401"/>
    <w:rsid w:val="005669A4"/>
    <w:rsid w:val="00566A3D"/>
    <w:rsid w:val="005702F1"/>
    <w:rsid w:val="00570498"/>
    <w:rsid w:val="00572946"/>
    <w:rsid w:val="00572BA2"/>
    <w:rsid w:val="005739A0"/>
    <w:rsid w:val="0057512B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2AC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31F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190B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96F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317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C4792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0EE"/>
    <w:rsid w:val="007E6711"/>
    <w:rsid w:val="007E7ED4"/>
    <w:rsid w:val="007F17C5"/>
    <w:rsid w:val="007F1ABD"/>
    <w:rsid w:val="007F2257"/>
    <w:rsid w:val="007F30DB"/>
    <w:rsid w:val="007F3F7E"/>
    <w:rsid w:val="007F64DE"/>
    <w:rsid w:val="007F75EC"/>
    <w:rsid w:val="007F7DE1"/>
    <w:rsid w:val="008027BE"/>
    <w:rsid w:val="008047E5"/>
    <w:rsid w:val="00804A05"/>
    <w:rsid w:val="008070A5"/>
    <w:rsid w:val="008076AD"/>
    <w:rsid w:val="008100E2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952"/>
    <w:rsid w:val="00830C4B"/>
    <w:rsid w:val="00832AFB"/>
    <w:rsid w:val="00834104"/>
    <w:rsid w:val="008400A0"/>
    <w:rsid w:val="00841F2D"/>
    <w:rsid w:val="0084325B"/>
    <w:rsid w:val="00843DB5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2786"/>
    <w:rsid w:val="00865125"/>
    <w:rsid w:val="00866E8B"/>
    <w:rsid w:val="00870461"/>
    <w:rsid w:val="00872B06"/>
    <w:rsid w:val="008749A5"/>
    <w:rsid w:val="008759BE"/>
    <w:rsid w:val="00876F9C"/>
    <w:rsid w:val="0087738B"/>
    <w:rsid w:val="00880AE5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C6811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1CC"/>
    <w:rsid w:val="008F55DE"/>
    <w:rsid w:val="008F74DF"/>
    <w:rsid w:val="00903350"/>
    <w:rsid w:val="00903F42"/>
    <w:rsid w:val="00903F5B"/>
    <w:rsid w:val="00911397"/>
    <w:rsid w:val="00911B88"/>
    <w:rsid w:val="009156EC"/>
    <w:rsid w:val="00915840"/>
    <w:rsid w:val="00920057"/>
    <w:rsid w:val="00920D7D"/>
    <w:rsid w:val="00921018"/>
    <w:rsid w:val="00921B0E"/>
    <w:rsid w:val="00922123"/>
    <w:rsid w:val="00922C56"/>
    <w:rsid w:val="00923660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948"/>
    <w:rsid w:val="009821B9"/>
    <w:rsid w:val="00982ED3"/>
    <w:rsid w:val="009837F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0584"/>
    <w:rsid w:val="009C2001"/>
    <w:rsid w:val="009C2376"/>
    <w:rsid w:val="009C2450"/>
    <w:rsid w:val="009C3453"/>
    <w:rsid w:val="009C402C"/>
    <w:rsid w:val="009C40F7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1DBF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968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6094"/>
    <w:rsid w:val="00A8755F"/>
    <w:rsid w:val="00A87951"/>
    <w:rsid w:val="00A94213"/>
    <w:rsid w:val="00A94BE8"/>
    <w:rsid w:val="00A94D79"/>
    <w:rsid w:val="00A95BB7"/>
    <w:rsid w:val="00A9659C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3A0B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A03"/>
    <w:rsid w:val="00B64B5C"/>
    <w:rsid w:val="00B65016"/>
    <w:rsid w:val="00B655A3"/>
    <w:rsid w:val="00B65C8C"/>
    <w:rsid w:val="00B67A49"/>
    <w:rsid w:val="00B71921"/>
    <w:rsid w:val="00B71A0F"/>
    <w:rsid w:val="00B738C8"/>
    <w:rsid w:val="00B74169"/>
    <w:rsid w:val="00B7418B"/>
    <w:rsid w:val="00B82BAF"/>
    <w:rsid w:val="00B83979"/>
    <w:rsid w:val="00B84F4C"/>
    <w:rsid w:val="00B86386"/>
    <w:rsid w:val="00B87012"/>
    <w:rsid w:val="00B877FA"/>
    <w:rsid w:val="00B916CE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96C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2B"/>
    <w:rsid w:val="00BD7FC5"/>
    <w:rsid w:val="00BE0D75"/>
    <w:rsid w:val="00BE2BD3"/>
    <w:rsid w:val="00BE5472"/>
    <w:rsid w:val="00BE5740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67F31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4FFD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4150"/>
    <w:rsid w:val="00DA5B8B"/>
    <w:rsid w:val="00DB04D4"/>
    <w:rsid w:val="00DB3FA8"/>
    <w:rsid w:val="00DC01B5"/>
    <w:rsid w:val="00DC1E6D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0C8"/>
    <w:rsid w:val="00E30683"/>
    <w:rsid w:val="00E310E1"/>
    <w:rsid w:val="00E314AD"/>
    <w:rsid w:val="00E31A98"/>
    <w:rsid w:val="00E31E3F"/>
    <w:rsid w:val="00E32152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2F80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5372"/>
    <w:rsid w:val="00EC55B6"/>
    <w:rsid w:val="00ED0421"/>
    <w:rsid w:val="00ED1E50"/>
    <w:rsid w:val="00ED54DE"/>
    <w:rsid w:val="00ED69F5"/>
    <w:rsid w:val="00ED7419"/>
    <w:rsid w:val="00ED7A6C"/>
    <w:rsid w:val="00ED7B33"/>
    <w:rsid w:val="00EE1328"/>
    <w:rsid w:val="00EE1DA5"/>
    <w:rsid w:val="00EE26D4"/>
    <w:rsid w:val="00EE2D82"/>
    <w:rsid w:val="00EE44EA"/>
    <w:rsid w:val="00EE68CE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981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0E7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2DF"/>
    <w:rsid w:val="00FA2C3E"/>
    <w:rsid w:val="00FA36FD"/>
    <w:rsid w:val="00FB037F"/>
    <w:rsid w:val="00FB11E2"/>
    <w:rsid w:val="00FB13C0"/>
    <w:rsid w:val="00FB2802"/>
    <w:rsid w:val="00FB2C79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2030"/>
    <w:rsid w:val="00FD367D"/>
    <w:rsid w:val="00FD58BA"/>
    <w:rsid w:val="00FD68EC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02A3-7833-47B4-A998-2E29F8CB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5228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Саляхетдинов Данила Джяфярьевич</cp:lastModifiedBy>
  <cp:revision>20</cp:revision>
  <cp:lastPrinted>2021-06-24T12:42:00Z</cp:lastPrinted>
  <dcterms:created xsi:type="dcterms:W3CDTF">2022-04-05T17:21:00Z</dcterms:created>
  <dcterms:modified xsi:type="dcterms:W3CDTF">2022-04-11T14:22:00Z</dcterms:modified>
</cp:coreProperties>
</file>