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BF" w:rsidRDefault="00B819BF" w:rsidP="00B819BF">
      <w:pPr>
        <w:widowControl w:val="0"/>
        <w:spacing w:after="0" w:line="240" w:lineRule="auto"/>
        <w:jc w:val="center"/>
        <w:rPr>
          <w:rFonts w:ascii="Times New Roman" w:eastAsia="Times New Roman" w:hAnsi="Times New Roman" w:cs="Times New Roman"/>
          <w:b/>
          <w:bCs/>
          <w:sz w:val="24"/>
          <w:szCs w:val="24"/>
          <w:lang w:eastAsia="ru-RU"/>
        </w:rPr>
      </w:pPr>
    </w:p>
    <w:p w:rsidR="00B819BF" w:rsidRPr="002A4297" w:rsidRDefault="00B819BF" w:rsidP="00B819B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B819BF" w:rsidRPr="002A4297" w:rsidRDefault="00B819BF" w:rsidP="00B819B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B819BF" w:rsidRPr="002A4297" w:rsidRDefault="00B819BF" w:rsidP="00B819BF">
      <w:pPr>
        <w:widowControl w:val="0"/>
        <w:spacing w:after="0" w:line="240" w:lineRule="auto"/>
        <w:jc w:val="center"/>
        <w:rPr>
          <w:rFonts w:ascii="Times New Roman" w:eastAsia="Times New Roman" w:hAnsi="Times New Roman" w:cs="Times New Roman"/>
          <w:sz w:val="24"/>
          <w:szCs w:val="24"/>
          <w:lang w:eastAsia="ru-RU"/>
        </w:rPr>
      </w:pPr>
    </w:p>
    <w:p w:rsidR="00B819BF" w:rsidRPr="002A4297" w:rsidRDefault="00B819BF" w:rsidP="00B819B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sidRPr="00B819BF">
        <w:rPr>
          <w:rFonts w:ascii="Times New Roman" w:eastAsia="Times New Roman" w:hAnsi="Times New Roman" w:cs="Times New Roman"/>
          <w:sz w:val="24"/>
          <w:szCs w:val="24"/>
          <w:lang w:eastAsia="ru-RU"/>
        </w:rPr>
        <w:t>в лице заместителя управляющего – руководителя РСЦ Ярославского отделения №17 ПАО Сбербанк И.Н. Хафизова, действующего на основании Устава Банка, Положения о филиале и Доверенности в порядке передоверия № 0017/52-Д от 28.09.2021, с одной стор</w:t>
      </w:r>
      <w:r>
        <w:rPr>
          <w:rFonts w:ascii="Times New Roman" w:eastAsia="Times New Roman" w:hAnsi="Times New Roman" w:cs="Times New Roman"/>
          <w:sz w:val="24"/>
          <w:szCs w:val="24"/>
          <w:lang w:eastAsia="ru-RU"/>
        </w:rPr>
        <w:t>оны</w:t>
      </w:r>
      <w:r w:rsidRPr="002A4297">
        <w:rPr>
          <w:rFonts w:ascii="Times New Roman" w:eastAsia="Times New Roman" w:hAnsi="Times New Roman" w:cs="Times New Roman"/>
          <w:sz w:val="24"/>
          <w:szCs w:val="24"/>
          <w:lang w:eastAsia="ru-RU"/>
        </w:rPr>
        <w:t>, и</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p>
    <w:p w:rsidR="00B819BF" w:rsidRPr="002A4297" w:rsidRDefault="00B819BF" w:rsidP="00B819B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b/>
          <w:sz w:val="24"/>
          <w:szCs w:val="24"/>
          <w:lang w:eastAsia="ru-RU"/>
        </w:rPr>
      </w:pPr>
    </w:p>
    <w:p w:rsidR="00B819BF" w:rsidRPr="002A4297" w:rsidRDefault="00B819BF" w:rsidP="00B819B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w:t>
      </w:r>
      <w:r w:rsidR="00953FEA">
        <w:rPr>
          <w:rFonts w:ascii="Times New Roman" w:eastAsia="Times New Roman" w:hAnsi="Times New Roman" w:cs="Times New Roman"/>
          <w:sz w:val="24"/>
          <w:szCs w:val="24"/>
          <w:lang w:eastAsia="ru-RU"/>
        </w:rPr>
        <w:t xml:space="preserve">недвижимое </w:t>
      </w:r>
      <w:r w:rsidRPr="002A4297">
        <w:rPr>
          <w:rFonts w:ascii="Times New Roman" w:eastAsia="Times New Roman" w:hAnsi="Times New Roman" w:cs="Times New Roman"/>
          <w:sz w:val="24"/>
          <w:szCs w:val="24"/>
          <w:lang w:eastAsia="ru-RU"/>
        </w:rPr>
        <w:t>имущество (далее – «</w:t>
      </w:r>
      <w:r w:rsidR="00EF03A0">
        <w:rPr>
          <w:rFonts w:ascii="Times New Roman" w:eastAsia="Times New Roman" w:hAnsi="Times New Roman" w:cs="Times New Roman"/>
          <w:b/>
          <w:sz w:val="24"/>
          <w:szCs w:val="24"/>
          <w:lang w:eastAsia="ru-RU"/>
        </w:rPr>
        <w:t>И</w:t>
      </w:r>
      <w:r w:rsidR="00953FEA" w:rsidRPr="002A4297">
        <w:rPr>
          <w:rFonts w:ascii="Times New Roman" w:eastAsia="Times New Roman" w:hAnsi="Times New Roman" w:cs="Times New Roman"/>
          <w:b/>
          <w:sz w:val="24"/>
          <w:szCs w:val="24"/>
          <w:lang w:eastAsia="ru-RU"/>
        </w:rPr>
        <w:t>мущество</w:t>
      </w:r>
      <w:r w:rsidRPr="002A4297">
        <w:rPr>
          <w:rFonts w:ascii="Times New Roman" w:eastAsia="Times New Roman" w:hAnsi="Times New Roman" w:cs="Times New Roman"/>
          <w:sz w:val="24"/>
          <w:szCs w:val="24"/>
          <w:lang w:eastAsia="ru-RU"/>
        </w:rPr>
        <w:t>»):</w:t>
      </w:r>
    </w:p>
    <w:p w:rsidR="00B819BF" w:rsidRPr="00953FEA" w:rsidRDefault="00B819BF" w:rsidP="00953FEA">
      <w:pPr>
        <w:pStyle w:val="af3"/>
        <w:numPr>
          <w:ilvl w:val="2"/>
          <w:numId w:val="13"/>
        </w:numPr>
        <w:suppressAutoHyphens/>
        <w:ind w:left="0" w:firstLine="709"/>
        <w:jc w:val="both"/>
        <w:rPr>
          <w:b/>
          <w:bCs/>
          <w:sz w:val="24"/>
          <w:szCs w:val="24"/>
        </w:rPr>
      </w:pPr>
      <w:r w:rsidRPr="00953FEA">
        <w:rPr>
          <w:bCs/>
          <w:sz w:val="24"/>
          <w:szCs w:val="24"/>
        </w:rPr>
        <w:t>1567/6778 доли в праве на нежилое помещение из общей площади 677,8 кв.м, указанная доля представляет собой нежилые помещения первого этажа № 112, 114-120, 123 часть помещений 113, 121, 122</w:t>
      </w:r>
      <w:r w:rsidR="006F6DF6">
        <w:rPr>
          <w:bCs/>
          <w:sz w:val="24"/>
          <w:szCs w:val="24"/>
        </w:rPr>
        <w:t>, указанные на плане</w:t>
      </w:r>
      <w:r w:rsidR="00074339">
        <w:rPr>
          <w:bCs/>
          <w:sz w:val="24"/>
          <w:szCs w:val="24"/>
        </w:rPr>
        <w:t>, который является Приложением № 1 к Договору</w:t>
      </w:r>
      <w:r w:rsidRPr="00953FEA">
        <w:rPr>
          <w:sz w:val="24"/>
          <w:szCs w:val="24"/>
        </w:rPr>
        <w:t xml:space="preserve"> (далее – «</w:t>
      </w:r>
      <w:r w:rsidRPr="00953FEA">
        <w:rPr>
          <w:b/>
          <w:sz w:val="24"/>
          <w:szCs w:val="24"/>
        </w:rPr>
        <w:t>Объект</w:t>
      </w:r>
      <w:r w:rsidRPr="00953FEA">
        <w:rPr>
          <w:sz w:val="24"/>
          <w:szCs w:val="24"/>
        </w:rPr>
        <w:t>»).</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Pr="00B819BF">
        <w:rPr>
          <w:rFonts w:ascii="Times New Roman" w:eastAsia="Times New Roman" w:hAnsi="Times New Roman" w:cs="Times New Roman"/>
          <w:bCs/>
          <w:sz w:val="24"/>
          <w:szCs w:val="24"/>
          <w:lang w:eastAsia="ru-RU"/>
        </w:rPr>
        <w:t>76:23:060907:461</w:t>
      </w:r>
      <w:r>
        <w:rPr>
          <w:rFonts w:ascii="Times New Roman" w:eastAsia="Times New Roman" w:hAnsi="Times New Roman" w:cs="Times New Roman"/>
          <w:bCs/>
          <w:sz w:val="24"/>
          <w:szCs w:val="24"/>
          <w:lang w:eastAsia="ru-RU"/>
        </w:rPr>
        <w:t>.</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Pr="00B819BF">
        <w:rPr>
          <w:rFonts w:ascii="Times New Roman" w:eastAsia="Times New Roman" w:hAnsi="Times New Roman" w:cs="Times New Roman"/>
          <w:bCs/>
          <w:sz w:val="24"/>
          <w:szCs w:val="24"/>
          <w:lang w:eastAsia="ru-RU"/>
        </w:rPr>
        <w:t>Ярославская область, г. Ярославль, Московский пр-т, д.153</w:t>
      </w:r>
    </w:p>
    <w:p w:rsidR="00B819BF" w:rsidRPr="002A4297" w:rsidRDefault="006F6DF6" w:rsidP="00B819B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помещение, в котором находится </w:t>
      </w:r>
      <w:r w:rsidR="00B819BF" w:rsidRPr="002A4297">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w:t>
      </w:r>
      <w:r w:rsidR="00B819BF" w:rsidRPr="002A4297">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B819BF">
        <w:rPr>
          <w:rFonts w:ascii="Times New Roman" w:eastAsia="Times New Roman" w:hAnsi="Times New Roman" w:cs="Times New Roman"/>
          <w:sz w:val="24"/>
          <w:szCs w:val="24"/>
          <w:lang w:eastAsia="ru-RU"/>
        </w:rPr>
        <w:t>договора купли-продажи от 26.12.2007г.</w:t>
      </w:r>
      <w:r w:rsidR="00B819BF"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B819BF" w:rsidRPr="00B819BF">
        <w:rPr>
          <w:rFonts w:ascii="Times New Roman" w:eastAsia="Times New Roman" w:hAnsi="Times New Roman" w:cs="Times New Roman"/>
          <w:bCs/>
          <w:sz w:val="24"/>
          <w:szCs w:val="24"/>
          <w:lang w:eastAsia="ru-RU"/>
        </w:rPr>
        <w:t>№ 76-76-01/090/2007-199 от 21.01.2008 года</w:t>
      </w:r>
      <w:r w:rsidR="00B819BF">
        <w:rPr>
          <w:rFonts w:ascii="Times New Roman" w:eastAsia="Times New Roman" w:hAnsi="Times New Roman" w:cs="Times New Roman"/>
          <w:sz w:val="24"/>
          <w:szCs w:val="24"/>
          <w:lang w:eastAsia="ru-RU"/>
        </w:rPr>
        <w:t xml:space="preserve">, что подтверждается </w:t>
      </w:r>
      <w:r w:rsidR="00B819BF" w:rsidRPr="00B819BF">
        <w:rPr>
          <w:rFonts w:ascii="Times New Roman" w:eastAsia="Times New Roman" w:hAnsi="Times New Roman" w:cs="Times New Roman"/>
          <w:bCs/>
          <w:sz w:val="24"/>
          <w:szCs w:val="24"/>
          <w:lang w:eastAsia="ru-RU"/>
        </w:rPr>
        <w:t>свидетельство</w:t>
      </w:r>
      <w:r w:rsidR="00B819BF">
        <w:rPr>
          <w:rFonts w:ascii="Times New Roman" w:eastAsia="Times New Roman" w:hAnsi="Times New Roman" w:cs="Times New Roman"/>
          <w:bCs/>
          <w:sz w:val="24"/>
          <w:szCs w:val="24"/>
          <w:lang w:eastAsia="ru-RU"/>
        </w:rPr>
        <w:t>м</w:t>
      </w:r>
      <w:r w:rsidR="00B819BF" w:rsidRPr="00B819BF">
        <w:rPr>
          <w:rFonts w:ascii="Times New Roman" w:eastAsia="Times New Roman" w:hAnsi="Times New Roman" w:cs="Times New Roman"/>
          <w:bCs/>
          <w:sz w:val="24"/>
          <w:szCs w:val="24"/>
          <w:lang w:eastAsia="ru-RU"/>
        </w:rPr>
        <w:t xml:space="preserve"> о государственной регистрации права от 21.01.2008 года</w:t>
      </w:r>
      <w:r w:rsidR="00B819BF">
        <w:rPr>
          <w:rFonts w:ascii="Times New Roman" w:eastAsia="Times New Roman" w:hAnsi="Times New Roman" w:cs="Times New Roman"/>
          <w:bCs/>
          <w:sz w:val="24"/>
          <w:szCs w:val="24"/>
          <w:lang w:eastAsia="ru-RU"/>
        </w:rPr>
        <w:t>,</w:t>
      </w:r>
      <w:r w:rsidR="00B819BF" w:rsidRPr="00B819BF">
        <w:rPr>
          <w:rFonts w:ascii="Times New Roman" w:eastAsia="Times New Roman" w:hAnsi="Times New Roman" w:cs="Times New Roman"/>
          <w:bCs/>
          <w:sz w:val="24"/>
          <w:szCs w:val="24"/>
          <w:lang w:eastAsia="ru-RU"/>
        </w:rPr>
        <w:t xml:space="preserve"> </w:t>
      </w:r>
      <w:r w:rsidR="00B819BF">
        <w:rPr>
          <w:rFonts w:ascii="Times New Roman" w:eastAsia="Times New Roman" w:hAnsi="Times New Roman" w:cs="Times New Roman"/>
          <w:bCs/>
          <w:sz w:val="24"/>
          <w:szCs w:val="24"/>
          <w:lang w:eastAsia="ru-RU"/>
        </w:rPr>
        <w:t>с</w:t>
      </w:r>
      <w:r w:rsidR="00B819BF" w:rsidRPr="00B819BF">
        <w:rPr>
          <w:rFonts w:ascii="Times New Roman" w:eastAsia="Times New Roman" w:hAnsi="Times New Roman" w:cs="Times New Roman"/>
          <w:bCs/>
          <w:sz w:val="24"/>
          <w:szCs w:val="24"/>
          <w:lang w:eastAsia="ru-RU"/>
        </w:rPr>
        <w:t>ерия 76АА № 633828</w:t>
      </w:r>
      <w:r w:rsidR="00B819BF">
        <w:rPr>
          <w:rFonts w:ascii="Times New Roman" w:eastAsia="Times New Roman" w:hAnsi="Times New Roman" w:cs="Times New Roman"/>
          <w:bCs/>
          <w:sz w:val="24"/>
          <w:szCs w:val="24"/>
          <w:lang w:eastAsia="ru-RU"/>
        </w:rPr>
        <w:t>.</w:t>
      </w:r>
    </w:p>
    <w:p w:rsidR="00B819BF" w:rsidRPr="00953FEA" w:rsidRDefault="006F6DF6" w:rsidP="00CE1B25">
      <w:pPr>
        <w:pStyle w:val="af3"/>
        <w:numPr>
          <w:ilvl w:val="1"/>
          <w:numId w:val="13"/>
        </w:numPr>
        <w:suppressAutoHyphens/>
        <w:ind w:left="0" w:firstLine="709"/>
        <w:jc w:val="both"/>
        <w:rPr>
          <w:sz w:val="24"/>
          <w:szCs w:val="24"/>
        </w:rPr>
      </w:pPr>
      <w:r w:rsidRPr="006F6DF6">
        <w:rPr>
          <w:sz w:val="24"/>
          <w:szCs w:val="24"/>
        </w:rPr>
        <w:t xml:space="preserve">Нежилое помещение, в котором находится Объект, </w:t>
      </w:r>
      <w:r w:rsidR="00B819BF" w:rsidRPr="00953FEA">
        <w:rPr>
          <w:sz w:val="24"/>
          <w:szCs w:val="24"/>
        </w:rPr>
        <w:t>расположен</w:t>
      </w:r>
      <w:r>
        <w:rPr>
          <w:sz w:val="24"/>
          <w:szCs w:val="24"/>
        </w:rPr>
        <w:t>о в здании</w:t>
      </w:r>
      <w:r w:rsidR="00B819BF" w:rsidRPr="00953FEA">
        <w:rPr>
          <w:sz w:val="24"/>
          <w:szCs w:val="24"/>
        </w:rPr>
        <w:t xml:space="preserve"> на земельном участке </w:t>
      </w:r>
      <w:r w:rsidR="00CE1B25">
        <w:rPr>
          <w:sz w:val="24"/>
          <w:szCs w:val="24"/>
        </w:rPr>
        <w:t xml:space="preserve">из земель населенных пунктов, разрешенное использование: для </w:t>
      </w:r>
      <w:r w:rsidR="00503155">
        <w:rPr>
          <w:sz w:val="24"/>
          <w:szCs w:val="24"/>
        </w:rPr>
        <w:t>эксплуатации многоквартирного жилого дома</w:t>
      </w:r>
      <w:r w:rsidR="00CE1B25">
        <w:rPr>
          <w:sz w:val="24"/>
          <w:szCs w:val="24"/>
        </w:rPr>
        <w:t xml:space="preserve"> </w:t>
      </w:r>
      <w:r w:rsidR="00B819BF" w:rsidRPr="00953FEA">
        <w:rPr>
          <w:sz w:val="24"/>
          <w:szCs w:val="24"/>
        </w:rPr>
        <w:t>с кадастровым</w:t>
      </w:r>
      <w:r w:rsidR="00503155">
        <w:rPr>
          <w:sz w:val="24"/>
          <w:szCs w:val="24"/>
        </w:rPr>
        <w:t xml:space="preserve"> </w:t>
      </w:r>
      <w:r w:rsidR="00B819BF" w:rsidRPr="00953FEA">
        <w:rPr>
          <w:sz w:val="24"/>
          <w:szCs w:val="24"/>
        </w:rPr>
        <w:t xml:space="preserve">номером </w:t>
      </w:r>
      <w:r w:rsidR="00503155">
        <w:rPr>
          <w:bCs/>
          <w:sz w:val="24"/>
          <w:szCs w:val="24"/>
        </w:rPr>
        <w:t>76:23:060907:71</w:t>
      </w:r>
      <w:r w:rsidR="00B819BF" w:rsidRPr="00953FEA">
        <w:rPr>
          <w:sz w:val="24"/>
          <w:szCs w:val="24"/>
        </w:rPr>
        <w:t xml:space="preserve">, расположенном по адресу: </w:t>
      </w:r>
      <w:r w:rsidR="00CE1B25" w:rsidRPr="00CE1B25">
        <w:rPr>
          <w:sz w:val="24"/>
          <w:szCs w:val="24"/>
        </w:rPr>
        <w:t>Ярославская область, г. Ярославль, Московский пр-т, д.153</w:t>
      </w:r>
      <w:r w:rsidR="00B819BF" w:rsidRPr="00953FEA">
        <w:rPr>
          <w:sz w:val="24"/>
          <w:szCs w:val="24"/>
        </w:rPr>
        <w:t>, который принадлежит Продавцу</w:t>
      </w:r>
      <w:r w:rsidR="00CE1B25">
        <w:rPr>
          <w:sz w:val="24"/>
          <w:szCs w:val="24"/>
        </w:rPr>
        <w:t xml:space="preserve"> как общее имущество в многоквартирном доме.</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DB3288" w:rsidRPr="00DB3288" w:rsidRDefault="00DB3288"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DB3288">
        <w:rPr>
          <w:rFonts w:ascii="Times New Roman" w:eastAsia="Times New Roman" w:hAnsi="Times New Roman" w:cs="Times New Roman"/>
          <w:sz w:val="24"/>
          <w:szCs w:val="24"/>
          <w:highlight w:val="yellow"/>
          <w:lang w:eastAsia="ru-RU"/>
        </w:rPr>
        <w:lastRenderedPageBreak/>
        <w:t>На Объекте произведены работы по переустройству, данные о которых не отражены в Едином государственном реестре недвижимости.</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bookmarkStart w:id="0" w:name="_GoBack"/>
      <w:bookmarkEnd w:id="0"/>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b/>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2B1464">
        <w:rPr>
          <w:rFonts w:ascii="Times New Roman" w:eastAsia="Times New Roman" w:hAnsi="Times New Roman" w:cs="Times New Roman"/>
          <w:sz w:val="24"/>
          <w:szCs w:val="24"/>
          <w:lang w:eastAsia="ru-RU"/>
        </w:rPr>
        <w:t xml:space="preserve">4.3. </w:t>
      </w:r>
      <w:r w:rsidRPr="002A4297">
        <w:rPr>
          <w:rFonts w:ascii="Times New Roman" w:eastAsia="Times New Roman" w:hAnsi="Times New Roman" w:cs="Times New Roman"/>
          <w:sz w:val="24"/>
          <w:szCs w:val="24"/>
          <w:lang w:eastAsia="ru-RU"/>
        </w:rPr>
        <w:t xml:space="preserve">Договора) передает Покупателю Имущество по акту приема-передачи, составленному по форме Приложения № </w:t>
      </w:r>
      <w:r w:rsidR="002B1464">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к Договору.</w:t>
      </w:r>
      <w:bookmarkEnd w:id="2"/>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EF03A0">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00EF03A0">
        <w:rPr>
          <w:rFonts w:ascii="Times New Roman" w:eastAsia="Times New Roman" w:hAnsi="Times New Roman" w:cs="Times New Roman"/>
          <w:sz w:val="24"/>
          <w:szCs w:val="24"/>
          <w:lang w:eastAsia="ru-RU"/>
        </w:rPr>
        <w:t>.</w:t>
      </w:r>
    </w:p>
    <w:p w:rsidR="00B819BF" w:rsidRPr="00623348"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sidR="00EF03A0">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B819BF" w:rsidRPr="002A4297" w:rsidRDefault="00B819BF" w:rsidP="00B819B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w:t>
      </w:r>
      <w:r w:rsidR="002B1464">
        <w:rPr>
          <w:rFonts w:ascii="Times New Roman" w:eastAsia="Times New Roman" w:hAnsi="Times New Roman" w:cs="Times New Roman"/>
          <w:sz w:val="24"/>
          <w:szCs w:val="24"/>
          <w:lang w:eastAsia="ru-RU"/>
        </w:rPr>
        <w:t xml:space="preserve"> 3.1. </w:t>
      </w:r>
      <w:r>
        <w:rPr>
          <w:rFonts w:ascii="Times New Roman" w:eastAsia="Times New Roman" w:hAnsi="Times New Roman" w:cs="Times New Roman"/>
          <w:sz w:val="24"/>
          <w:szCs w:val="24"/>
          <w:lang w:eastAsia="ru-RU"/>
        </w:rPr>
        <w:t xml:space="preserve">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B819BF" w:rsidRPr="002A4297" w:rsidRDefault="00B819BF" w:rsidP="00B819B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B819BF" w:rsidRDefault="00B819BF" w:rsidP="00B819B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rsidR="00B819BF" w:rsidRPr="002A4297" w:rsidRDefault="00B819BF" w:rsidP="00B819B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Стоимость Объекта составляет: ________ (____________) ________, кроме того НДС (20 %) в размере ________ (____________) ________, итого с учетом НДС: ________ </w:t>
      </w:r>
      <w:r w:rsidRPr="002A4297">
        <w:rPr>
          <w:rFonts w:ascii="Times New Roman" w:eastAsia="Times New Roman" w:hAnsi="Times New Roman" w:cs="Times New Roman"/>
          <w:sz w:val="24"/>
          <w:szCs w:val="24"/>
          <w:lang w:eastAsia="ru-RU"/>
        </w:rPr>
        <w:lastRenderedPageBreak/>
        <w:t>(____________) ________;</w:t>
      </w:r>
    </w:p>
    <w:p w:rsidR="00B819BF" w:rsidRPr="00AD6126" w:rsidRDefault="00B819BF" w:rsidP="00953FEA">
      <w:pPr>
        <w:pStyle w:val="af3"/>
        <w:numPr>
          <w:ilvl w:val="1"/>
          <w:numId w:val="13"/>
        </w:numPr>
        <w:ind w:left="0" w:firstLine="709"/>
        <w:jc w:val="both"/>
        <w:rPr>
          <w:sz w:val="24"/>
          <w:szCs w:val="24"/>
        </w:rPr>
      </w:pPr>
      <w:bookmarkStart w:id="5" w:name="_Ref486334738"/>
      <w:r>
        <w:rPr>
          <w:rStyle w:val="af5"/>
          <w:sz w:val="24"/>
          <w:szCs w:val="24"/>
        </w:rPr>
        <w:footnoteReference w:id="9"/>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B9098B">
        <w:rPr>
          <w:rFonts w:ascii="Times New Roman" w:eastAsia="Times New Roman" w:hAnsi="Times New Roman" w:cs="Times New Roman"/>
          <w:sz w:val="24"/>
          <w:szCs w:val="24"/>
          <w:lang w:eastAsia="ru-RU"/>
        </w:rPr>
        <w:t xml:space="preserve">13 </w:t>
      </w:r>
      <w:r w:rsidRPr="002A4297">
        <w:rPr>
          <w:rFonts w:ascii="Times New Roman" w:eastAsia="Times New Roman" w:hAnsi="Times New Roman" w:cs="Times New Roman"/>
          <w:sz w:val="24"/>
          <w:szCs w:val="24"/>
          <w:lang w:eastAsia="ru-RU"/>
        </w:rPr>
        <w:t>Договора.</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Счет-фактура предоставляется в порядке и в сроки, установленные </w:t>
      </w:r>
      <w:r w:rsidRPr="002A4297">
        <w:rPr>
          <w:rFonts w:ascii="Times New Roman" w:eastAsia="Times New Roman" w:hAnsi="Times New Roman" w:cs="Times New Roman"/>
          <w:sz w:val="24"/>
          <w:szCs w:val="24"/>
          <w:lang w:eastAsia="ru-RU"/>
        </w:rPr>
        <w:lastRenderedPageBreak/>
        <w:t>законодательством Российской Федерации.</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B9098B">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18"/>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19"/>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B819BF" w:rsidRPr="00C26408"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B819BF" w:rsidRPr="009B79CF" w:rsidRDefault="00B819BF" w:rsidP="00953FEA">
      <w:pPr>
        <w:pStyle w:val="af3"/>
        <w:numPr>
          <w:ilvl w:val="1"/>
          <w:numId w:val="13"/>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B819BF" w:rsidRPr="00C26408" w:rsidRDefault="00B819BF" w:rsidP="00B819BF">
      <w:pPr>
        <w:pStyle w:val="af3"/>
        <w:ind w:left="709"/>
        <w:rPr>
          <w:sz w:val="24"/>
          <w:szCs w:val="24"/>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b/>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B819BF" w:rsidRPr="002A4297" w:rsidRDefault="00B819BF" w:rsidP="00B819B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00B9098B">
        <w:rPr>
          <w:rFonts w:ascii="Times New Roman" w:eastAsia="Times New Roman" w:hAnsi="Times New Roman" w:cs="Times New Roman"/>
          <w:sz w:val="24"/>
          <w:szCs w:val="24"/>
          <w:lang w:eastAsia="ru-RU"/>
        </w:rPr>
        <w:t xml:space="preserve">3.1. </w:t>
      </w:r>
      <w:r w:rsidRPr="002A4297">
        <w:rPr>
          <w:rFonts w:ascii="Times New Roman" w:eastAsia="Times New Roman" w:hAnsi="Times New Roman" w:cs="Times New Roman"/>
          <w:sz w:val="24"/>
          <w:szCs w:val="24"/>
          <w:lang w:eastAsia="ru-RU"/>
        </w:rPr>
        <w:t xml:space="preserve">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B819BF" w:rsidRDefault="00B819BF" w:rsidP="00B819B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B9098B">
        <w:rPr>
          <w:rFonts w:ascii="Times New Roman" w:eastAsia="Times New Roman" w:hAnsi="Times New Roman" w:cs="Times New Roman"/>
          <w:sz w:val="24"/>
          <w:szCs w:val="24"/>
          <w:lang w:eastAsia="ru-RU"/>
        </w:rPr>
        <w:t xml:space="preserve">3.1.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B819BF" w:rsidRPr="0049596E" w:rsidRDefault="00B819BF" w:rsidP="00B819BF">
      <w:pPr>
        <w:pStyle w:val="af3"/>
        <w:numPr>
          <w:ilvl w:val="2"/>
          <w:numId w:val="7"/>
        </w:numPr>
        <w:ind w:left="0" w:firstLine="708"/>
        <w:jc w:val="both"/>
        <w:rPr>
          <w:sz w:val="24"/>
          <w:szCs w:val="24"/>
        </w:rPr>
      </w:pPr>
      <w:r>
        <w:rPr>
          <w:rStyle w:val="af5"/>
          <w:sz w:val="24"/>
          <w:szCs w:val="24"/>
        </w:rPr>
        <w:footnoteReference w:id="22"/>
      </w:r>
      <w:r w:rsidRPr="0049596E">
        <w:rPr>
          <w:sz w:val="24"/>
          <w:szCs w:val="24"/>
        </w:rPr>
        <w:t>При выплате дохода</w:t>
      </w:r>
      <w:r>
        <w:rPr>
          <w:rStyle w:val="af5"/>
          <w:sz w:val="24"/>
          <w:szCs w:val="24"/>
        </w:rPr>
        <w:footnoteReference w:id="23"/>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B819BF" w:rsidRPr="0083595C" w:rsidRDefault="00B819BF" w:rsidP="00B819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83595C"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B819BF" w:rsidRPr="0083595C" w:rsidRDefault="00B819BF" w:rsidP="00B819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B819BF" w:rsidRPr="0083595C" w:rsidRDefault="00B819BF" w:rsidP="00B819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B819BF" w:rsidRPr="002A4297" w:rsidRDefault="00B819BF" w:rsidP="00B819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lastRenderedPageBreak/>
        <w:footnoteReference w:id="24"/>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5"/>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B9098B">
        <w:rPr>
          <w:rFonts w:ascii="Times New Roman" w:eastAsia="Times New Roman" w:hAnsi="Times New Roman" w:cs="Times New Roman"/>
          <w:sz w:val="24"/>
          <w:szCs w:val="24"/>
          <w:lang w:eastAsia="ru-RU"/>
        </w:rPr>
        <w:t xml:space="preserve">4.10. </w:t>
      </w:r>
      <w:r w:rsidRPr="002A4297">
        <w:rPr>
          <w:rFonts w:ascii="Times New Roman" w:eastAsia="Times New Roman" w:hAnsi="Times New Roman" w:cs="Times New Roman"/>
          <w:sz w:val="24"/>
          <w:szCs w:val="24"/>
          <w:lang w:eastAsia="ru-RU"/>
        </w:rPr>
        <w:t>Договора.</w:t>
      </w:r>
    </w:p>
    <w:p w:rsidR="00B819BF" w:rsidRPr="002A4297" w:rsidRDefault="00B819BF" w:rsidP="00B819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B819BF" w:rsidRPr="002A4297" w:rsidRDefault="00B819BF" w:rsidP="00B819B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sidR="00B9098B">
        <w:rPr>
          <w:rFonts w:ascii="Times New Roman" w:eastAsia="Times New Roman" w:hAnsi="Times New Roman" w:cs="Times New Roman"/>
          <w:sz w:val="24"/>
          <w:szCs w:val="24"/>
          <w:lang w:eastAsia="ru-RU"/>
        </w:rPr>
        <w:t xml:space="preserve"> 4.3.</w:t>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w:t>
      </w:r>
      <w:r w:rsidR="00B9098B">
        <w:rPr>
          <w:rFonts w:ascii="Times New Roman" w:eastAsia="Times New Roman" w:hAnsi="Times New Roman" w:cs="Times New Roman"/>
          <w:sz w:val="24"/>
          <w:szCs w:val="24"/>
          <w:lang w:eastAsia="ru-RU"/>
        </w:rPr>
        <w:t xml:space="preserve"> 4.10</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w:t>
      </w:r>
      <w:r w:rsidR="00B9098B">
        <w:rPr>
          <w:rFonts w:ascii="Times New Roman" w:eastAsia="Times New Roman" w:hAnsi="Times New Roman" w:cs="Times New Roman"/>
          <w:sz w:val="24"/>
          <w:szCs w:val="24"/>
          <w:lang w:eastAsia="ru-RU"/>
        </w:rPr>
        <w:t xml:space="preserve"> 3.1</w:t>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w:t>
      </w:r>
      <w:r w:rsidR="00B9098B">
        <w:rPr>
          <w:rFonts w:ascii="Times New Roman" w:eastAsia="Times New Roman" w:hAnsi="Times New Roman" w:cs="Times New Roman"/>
          <w:sz w:val="24"/>
          <w:szCs w:val="24"/>
          <w:lang w:eastAsia="ru-RU"/>
        </w:rPr>
        <w:t xml:space="preserve"> 4.1</w:t>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B819BF" w:rsidRPr="00E21B86"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00B9098B">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B9098B">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w:t>
      </w:r>
      <w:r w:rsidR="00B9098B">
        <w:rPr>
          <w:rFonts w:ascii="Times New Roman" w:eastAsia="Times New Roman" w:hAnsi="Times New Roman" w:cs="Times New Roman"/>
          <w:sz w:val="24"/>
          <w:szCs w:val="24"/>
          <w:lang w:eastAsia="ru-RU"/>
        </w:rPr>
        <w:t xml:space="preserve"> 4.1</w:t>
      </w:r>
      <w:r w:rsidRPr="002A4297">
        <w:rPr>
          <w:rFonts w:ascii="Times New Roman" w:eastAsia="Times New Roman" w:hAnsi="Times New Roman" w:cs="Times New Roman"/>
          <w:sz w:val="24"/>
          <w:szCs w:val="24"/>
          <w:lang w:eastAsia="ru-RU"/>
        </w:rPr>
        <w:t xml:space="preserve"> Договора, за каждый день просрочки.</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w:t>
      </w:r>
      <w:r w:rsidR="00B9098B">
        <w:rPr>
          <w:rFonts w:ascii="Times New Roman" w:eastAsia="Times New Roman" w:hAnsi="Times New Roman" w:cs="Times New Roman"/>
          <w:sz w:val="24"/>
          <w:szCs w:val="24"/>
          <w:lang w:eastAsia="ru-RU"/>
        </w:rPr>
        <w:t xml:space="preserve"> 5.1.1</w:t>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сроков возврата Имущества (пункт</w:t>
      </w:r>
      <w:r w:rsidR="00B9098B">
        <w:rPr>
          <w:rFonts w:ascii="Times New Roman" w:eastAsia="Times New Roman" w:hAnsi="Times New Roman" w:cs="Times New Roman"/>
          <w:sz w:val="24"/>
          <w:szCs w:val="24"/>
          <w:lang w:eastAsia="ru-RU"/>
        </w:rPr>
        <w:t xml:space="preserve"> 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w:t>
      </w:r>
      <w:r w:rsidRPr="002A4297">
        <w:rPr>
          <w:rFonts w:ascii="Times New Roman" w:eastAsia="Times New Roman" w:hAnsi="Times New Roman" w:cs="Times New Roman"/>
          <w:sz w:val="24"/>
          <w:szCs w:val="24"/>
          <w:lang w:eastAsia="ru-RU"/>
        </w:rPr>
        <w:lastRenderedPageBreak/>
        <w:t>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B819BF" w:rsidRDefault="00B819BF" w:rsidP="00B819BF">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B819BF" w:rsidRPr="002A4297" w:rsidRDefault="00B819BF" w:rsidP="00B819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B819BF" w:rsidRPr="003E2BD2" w:rsidRDefault="00B819BF" w:rsidP="00953FEA">
      <w:pPr>
        <w:pStyle w:val="af3"/>
        <w:numPr>
          <w:ilvl w:val="1"/>
          <w:numId w:val="13"/>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B819BF" w:rsidRPr="00220FD4"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sidRPr="002A4297">
        <w:rPr>
          <w:rFonts w:ascii="Times New Roman" w:eastAsia="Times New Roman" w:hAnsi="Times New Roman" w:cs="Times New Roman"/>
          <w:sz w:val="24"/>
          <w:szCs w:val="24"/>
          <w:lang w:eastAsia="ru-RU"/>
        </w:rPr>
        <w:lastRenderedPageBreak/>
        <w:t>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819BF" w:rsidRPr="002A4297" w:rsidRDefault="00B819BF" w:rsidP="00B819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keepLines/>
        <w:widowControl w:val="0"/>
        <w:numPr>
          <w:ilvl w:val="1"/>
          <w:numId w:val="1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819BF" w:rsidRPr="002A4297" w:rsidRDefault="00B819BF" w:rsidP="00953FEA">
      <w:pPr>
        <w:keepLines/>
        <w:widowControl w:val="0"/>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819BF" w:rsidRPr="002A4297" w:rsidRDefault="00B819BF" w:rsidP="00953FEA">
      <w:pPr>
        <w:keepLines/>
        <w:widowControl w:val="0"/>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B819BF" w:rsidRPr="002A4297" w:rsidRDefault="00B819BF" w:rsidP="00953FEA">
      <w:pPr>
        <w:keepLines/>
        <w:widowControl w:val="0"/>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B9098B">
        <w:rPr>
          <w:rFonts w:ascii="Times New Roman" w:eastAsia="Times New Roman" w:hAnsi="Times New Roman" w:cs="Times New Roman"/>
          <w:color w:val="000000"/>
          <w:sz w:val="24"/>
          <w:szCs w:val="24"/>
          <w:lang w:eastAsia="ru-RU"/>
        </w:rPr>
        <w:t xml:space="preserve"> 10.1</w:t>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5A1DE4">
        <w:rPr>
          <w:rFonts w:ascii="Times New Roman" w:eastAsia="Times New Roman" w:hAnsi="Times New Roman" w:cs="Times New Roman"/>
          <w:color w:val="000000"/>
          <w:sz w:val="24"/>
          <w:szCs w:val="24"/>
          <w:lang w:eastAsia="ru-RU"/>
        </w:rPr>
        <w:t>Арбитражный суд Ярославской области</w:t>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B819BF" w:rsidRPr="002A4297" w:rsidRDefault="00B819BF" w:rsidP="00B819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B819BF"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B819BF" w:rsidRPr="00A36E00" w:rsidRDefault="00B819BF" w:rsidP="00953FEA">
      <w:pPr>
        <w:pStyle w:val="af3"/>
        <w:numPr>
          <w:ilvl w:val="1"/>
          <w:numId w:val="13"/>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w:t>
      </w:r>
      <w:r w:rsidRPr="00A36E00">
        <w:rPr>
          <w:sz w:val="24"/>
          <w:szCs w:val="24"/>
        </w:rPr>
        <w:lastRenderedPageBreak/>
        <w:t>претензии и т.п.) должны направляться по адресам Сторон, указанным в разделе</w:t>
      </w:r>
      <w:r w:rsidR="005A1DE4">
        <w:rPr>
          <w:sz w:val="24"/>
          <w:szCs w:val="24"/>
        </w:rPr>
        <w:t xml:space="preserve"> 13</w:t>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B819BF" w:rsidRPr="00623348" w:rsidRDefault="00B819BF" w:rsidP="00B819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B819BF" w:rsidRDefault="00B819BF" w:rsidP="00B819B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B819BF" w:rsidRPr="00122F11" w:rsidRDefault="00B819BF" w:rsidP="00953FEA">
      <w:pPr>
        <w:pStyle w:val="af3"/>
        <w:numPr>
          <w:ilvl w:val="1"/>
          <w:numId w:val="13"/>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819BF" w:rsidRPr="00493A51" w:rsidRDefault="00B819BF" w:rsidP="00953FEA">
      <w:pPr>
        <w:pStyle w:val="af3"/>
        <w:numPr>
          <w:ilvl w:val="1"/>
          <w:numId w:val="13"/>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29"/>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3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B819BF" w:rsidRPr="002A4297" w:rsidRDefault="00B819BF" w:rsidP="00953FEA">
      <w:pPr>
        <w:widowControl w:val="0"/>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B819BF" w:rsidRPr="002A4297" w:rsidRDefault="00B819BF" w:rsidP="00953FEA">
      <w:pPr>
        <w:widowControl w:val="0"/>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B819BF" w:rsidRPr="002A4297" w:rsidRDefault="00B819BF" w:rsidP="00953FEA">
      <w:pPr>
        <w:widowControl w:val="0"/>
        <w:numPr>
          <w:ilvl w:val="1"/>
          <w:numId w:val="1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Pr="002A4297" w:rsidRDefault="00B819BF" w:rsidP="00953FEA">
      <w:pPr>
        <w:widowControl w:val="0"/>
        <w:numPr>
          <w:ilvl w:val="0"/>
          <w:numId w:val="1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074339" w:rsidRPr="00074339" w:rsidRDefault="00B819BF" w:rsidP="00953FEA">
      <w:pPr>
        <w:widowControl w:val="0"/>
        <w:numPr>
          <w:ilvl w:val="1"/>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Приложение № 1 –</w:t>
      </w:r>
      <w:r w:rsidR="00074339">
        <w:rPr>
          <w:rFonts w:ascii="Times New Roman" w:eastAsia="Times New Roman" w:hAnsi="Times New Roman" w:cs="Times New Roman"/>
          <w:bCs/>
          <w:sz w:val="24"/>
          <w:szCs w:val="24"/>
          <w:lang w:eastAsia="ru-RU"/>
        </w:rPr>
        <w:t xml:space="preserve"> </w:t>
      </w:r>
      <w:r w:rsidR="00074339" w:rsidRPr="00074339">
        <w:rPr>
          <w:rFonts w:ascii="Times New Roman" w:eastAsia="Times New Roman" w:hAnsi="Times New Roman" w:cs="Times New Roman"/>
          <w:bCs/>
          <w:sz w:val="24"/>
          <w:szCs w:val="24"/>
          <w:lang w:eastAsia="ru-RU"/>
        </w:rPr>
        <w:t xml:space="preserve">План </w:t>
      </w:r>
      <w:r w:rsidR="00074339">
        <w:rPr>
          <w:rFonts w:ascii="Times New Roman" w:eastAsia="Times New Roman" w:hAnsi="Times New Roman" w:cs="Times New Roman"/>
          <w:bCs/>
          <w:sz w:val="24"/>
          <w:szCs w:val="24"/>
          <w:lang w:eastAsia="ru-RU"/>
        </w:rPr>
        <w:t xml:space="preserve">первого </w:t>
      </w:r>
      <w:r w:rsidR="00074339" w:rsidRPr="00074339">
        <w:rPr>
          <w:rFonts w:ascii="Times New Roman" w:eastAsia="Times New Roman" w:hAnsi="Times New Roman" w:cs="Times New Roman"/>
          <w:bCs/>
          <w:sz w:val="24"/>
          <w:szCs w:val="24"/>
          <w:lang w:eastAsia="ru-RU"/>
        </w:rPr>
        <w:t xml:space="preserve">этажа с указанием Объекта (выделено </w:t>
      </w:r>
      <w:r w:rsidR="00074339">
        <w:rPr>
          <w:rFonts w:ascii="Times New Roman" w:eastAsia="Times New Roman" w:hAnsi="Times New Roman" w:cs="Times New Roman"/>
          <w:bCs/>
          <w:sz w:val="24"/>
          <w:szCs w:val="24"/>
          <w:lang w:eastAsia="ru-RU"/>
        </w:rPr>
        <w:t>красным</w:t>
      </w:r>
      <w:r w:rsidR="00074339" w:rsidRPr="00074339">
        <w:rPr>
          <w:rFonts w:ascii="Times New Roman" w:eastAsia="Times New Roman" w:hAnsi="Times New Roman" w:cs="Times New Roman"/>
          <w:bCs/>
          <w:sz w:val="24"/>
          <w:szCs w:val="24"/>
          <w:lang w:eastAsia="ru-RU"/>
        </w:rPr>
        <w:t xml:space="preserve"> цветом) – на 1 листе</w:t>
      </w:r>
    </w:p>
    <w:p w:rsidR="00B819BF" w:rsidRPr="002A4297" w:rsidRDefault="005A1DE4" w:rsidP="00953FEA">
      <w:pPr>
        <w:widowControl w:val="0"/>
        <w:numPr>
          <w:ilvl w:val="1"/>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Приолжение № 2 – </w:t>
      </w:r>
      <w:r w:rsidR="00B819BF" w:rsidRPr="002A4297">
        <w:rPr>
          <w:rFonts w:ascii="Times New Roman" w:eastAsia="Times New Roman" w:hAnsi="Times New Roman" w:cs="Times New Roman"/>
          <w:bCs/>
          <w:sz w:val="24"/>
          <w:szCs w:val="24"/>
          <w:lang w:eastAsia="ru-RU"/>
        </w:rPr>
        <w:t>Форма</w:t>
      </w:r>
      <w:r>
        <w:rPr>
          <w:rFonts w:ascii="Times New Roman" w:eastAsia="Times New Roman" w:hAnsi="Times New Roman" w:cs="Times New Roman"/>
          <w:bCs/>
          <w:sz w:val="24"/>
          <w:szCs w:val="24"/>
          <w:lang w:eastAsia="ru-RU"/>
        </w:rPr>
        <w:t xml:space="preserve"> </w:t>
      </w:r>
      <w:r w:rsidR="00B819BF" w:rsidRPr="002A4297">
        <w:rPr>
          <w:rFonts w:ascii="Times New Roman" w:eastAsia="Times New Roman" w:hAnsi="Times New Roman" w:cs="Times New Roman"/>
          <w:sz w:val="24"/>
          <w:szCs w:val="24"/>
          <w:lang w:eastAsia="ru-RU"/>
        </w:rPr>
        <w:t xml:space="preserve">Акта приема-передачи Имущества – </w:t>
      </w:r>
      <w:r w:rsidR="00B819BF" w:rsidRPr="002A4297">
        <w:rPr>
          <w:rFonts w:ascii="Times New Roman" w:eastAsia="Times New Roman" w:hAnsi="Times New Roman" w:cs="Times New Roman"/>
          <w:bCs/>
          <w:sz w:val="24"/>
          <w:szCs w:val="24"/>
          <w:lang w:eastAsia="ru-RU"/>
        </w:rPr>
        <w:t xml:space="preserve">на </w:t>
      </w:r>
      <w:r w:rsidR="00B819BF" w:rsidRPr="002A4297">
        <w:rPr>
          <w:rFonts w:ascii="Times New Roman" w:eastAsia="Times New Roman" w:hAnsi="Times New Roman" w:cs="Times New Roman"/>
          <w:sz w:val="24"/>
          <w:szCs w:val="24"/>
          <w:lang w:eastAsia="ru-RU"/>
        </w:rPr>
        <w:t>__ листах.</w:t>
      </w:r>
    </w:p>
    <w:p w:rsidR="00B819BF" w:rsidRDefault="00B819BF" w:rsidP="00953FEA">
      <w:pPr>
        <w:widowControl w:val="0"/>
        <w:numPr>
          <w:ilvl w:val="1"/>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w:t>
      </w:r>
      <w:r w:rsidR="000846E9">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0846E9">
        <w:rPr>
          <w:rFonts w:ascii="Times New Roman" w:eastAsia="Times New Roman" w:hAnsi="Times New Roman" w:cs="Times New Roman"/>
          <w:sz w:val="24"/>
          <w:szCs w:val="24"/>
          <w:lang w:eastAsia="ru-RU"/>
        </w:rPr>
        <w:t>___</w:t>
      </w:r>
      <w:r w:rsidRPr="002A4297">
        <w:rPr>
          <w:rFonts w:ascii="Times New Roman" w:eastAsia="Times New Roman" w:hAnsi="Times New Roman" w:cs="Times New Roman"/>
          <w:sz w:val="24"/>
          <w:szCs w:val="24"/>
          <w:lang w:eastAsia="ru-RU"/>
        </w:rPr>
        <w:t>листах.</w:t>
      </w:r>
    </w:p>
    <w:p w:rsidR="000846E9" w:rsidRPr="002A4297" w:rsidRDefault="000846E9" w:rsidP="00953FEA">
      <w:pPr>
        <w:widowControl w:val="0"/>
        <w:numPr>
          <w:ilvl w:val="1"/>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 – Соглашение об использовании принципов корпоративной социальной ответственности – на ___листах</w:t>
      </w:r>
    </w:p>
    <w:p w:rsidR="00B819BF" w:rsidRPr="002A4297" w:rsidRDefault="00B819BF" w:rsidP="000846E9">
      <w:pPr>
        <w:widowControl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pacing w:after="0" w:line="240" w:lineRule="auto"/>
        <w:ind w:firstLine="709"/>
        <w:contextualSpacing/>
        <w:rPr>
          <w:rFonts w:ascii="Times New Roman" w:eastAsia="Times New Roman" w:hAnsi="Times New Roman" w:cs="Times New Roman"/>
          <w:sz w:val="24"/>
          <w:szCs w:val="24"/>
          <w:lang w:eastAsia="ru-RU"/>
        </w:rPr>
      </w:pPr>
    </w:p>
    <w:p w:rsidR="00B819BF" w:rsidRDefault="00B819BF" w:rsidP="00953FEA">
      <w:pPr>
        <w:widowControl w:val="0"/>
        <w:numPr>
          <w:ilvl w:val="0"/>
          <w:numId w:val="13"/>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B819BF" w:rsidRPr="002A4297" w:rsidRDefault="00B819BF" w:rsidP="00B819B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2"/>
      </w:r>
      <w:r w:rsidRPr="002A4297">
        <w:rPr>
          <w:rFonts w:ascii="Times New Roman" w:eastAsia="Times New Roman" w:hAnsi="Times New Roman" w:cs="Times New Roman"/>
          <w:b/>
          <w:sz w:val="24"/>
          <w:szCs w:val="24"/>
          <w:lang w:eastAsia="ru-RU"/>
        </w:rPr>
        <w:t>:</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B819BF" w:rsidRPr="002A4297" w:rsidRDefault="00B819BF" w:rsidP="00B819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B819BF" w:rsidRPr="002A4297" w:rsidRDefault="00B819BF" w:rsidP="00B819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B819BF" w:rsidRPr="002A4297" w:rsidRDefault="00B819BF" w:rsidP="00B819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B819BF" w:rsidRPr="002A4297" w:rsidRDefault="00B819BF" w:rsidP="00B819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B819BF" w:rsidRPr="002A4297" w:rsidRDefault="00B819BF" w:rsidP="00B819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B819BF" w:rsidRPr="002A4297" w:rsidRDefault="00B819BF" w:rsidP="00B819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33"/>
            </w: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819BF" w:rsidRPr="002A4297" w:rsidRDefault="00B819BF" w:rsidP="00B819BF">
      <w:pPr>
        <w:widowControl w:val="0"/>
        <w:spacing w:after="0" w:line="240" w:lineRule="auto"/>
        <w:rPr>
          <w:rFonts w:ascii="Times New Roman" w:eastAsia="Times New Roman" w:hAnsi="Times New Roman" w:cs="Times New Roman"/>
          <w:sz w:val="24"/>
          <w:szCs w:val="20"/>
          <w:lang w:eastAsia="ru-RU"/>
        </w:rPr>
      </w:pPr>
    </w:p>
    <w:p w:rsidR="00B819BF" w:rsidRPr="002A4297" w:rsidRDefault="00B819BF" w:rsidP="00B819B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074339" w:rsidRPr="002A4297" w:rsidRDefault="00074339" w:rsidP="00074339">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074339" w:rsidRPr="002A4297" w:rsidRDefault="00074339" w:rsidP="0007433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074339" w:rsidRPr="002A4297" w:rsidRDefault="00074339" w:rsidP="0007433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074339" w:rsidRPr="002A4297" w:rsidRDefault="00074339" w:rsidP="0007433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074339" w:rsidRPr="002A4297" w:rsidRDefault="00074339" w:rsidP="00074339">
      <w:pPr>
        <w:widowControl w:val="0"/>
        <w:snapToGrid w:val="0"/>
        <w:spacing w:after="0" w:line="240" w:lineRule="auto"/>
        <w:contextualSpacing/>
        <w:rPr>
          <w:rFonts w:ascii="Times New Roman" w:eastAsia="Times New Roman" w:hAnsi="Times New Roman" w:cs="Times New Roman"/>
          <w:sz w:val="24"/>
          <w:szCs w:val="24"/>
          <w:lang w:eastAsia="ru-RU"/>
        </w:rPr>
      </w:pPr>
    </w:p>
    <w:p w:rsidR="00074339" w:rsidRDefault="00074339" w:rsidP="00074339">
      <w:pPr>
        <w:spacing w:after="0"/>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План первого этажа с указанием Объекта </w:t>
      </w:r>
    </w:p>
    <w:p w:rsidR="00074339" w:rsidRDefault="00074339" w:rsidP="00074339">
      <w:pPr>
        <w:spacing w:after="0"/>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(выделено красным цветом)</w:t>
      </w:r>
    </w:p>
    <w:p w:rsidR="00074339" w:rsidRDefault="00074339" w:rsidP="00074339">
      <w:pPr>
        <w:spacing w:after="0"/>
        <w:jc w:val="center"/>
        <w:rPr>
          <w:rFonts w:ascii="Times New Roman" w:eastAsia="Times New Roman" w:hAnsi="Times New Roman" w:cs="Times New Roman"/>
          <w:b/>
          <w:sz w:val="24"/>
          <w:szCs w:val="24"/>
          <w:lang w:eastAsia="x-none"/>
        </w:rPr>
      </w:pPr>
    </w:p>
    <w:p w:rsidR="00074339" w:rsidRDefault="00074339" w:rsidP="00074339">
      <w:pPr>
        <w:spacing w:after="0"/>
        <w:jc w:val="center"/>
        <w:rPr>
          <w:rFonts w:ascii="Times New Roman" w:eastAsia="Times New Roman" w:hAnsi="Times New Roman" w:cs="Times New Roman"/>
          <w:b/>
          <w:sz w:val="24"/>
          <w:szCs w:val="24"/>
          <w:lang w:eastAsia="x-none"/>
        </w:rPr>
      </w:pPr>
    </w:p>
    <w:p w:rsidR="00074339" w:rsidRDefault="00074339" w:rsidP="00074339">
      <w:pPr>
        <w:spacing w:after="0"/>
        <w:jc w:val="center"/>
        <w:rPr>
          <w:rFonts w:ascii="Times New Roman" w:eastAsia="Times New Roman" w:hAnsi="Times New Roman" w:cs="Times New Roman"/>
          <w:b/>
          <w:sz w:val="24"/>
          <w:szCs w:val="24"/>
          <w:lang w:eastAsia="x-none"/>
        </w:rPr>
      </w:pPr>
    </w:p>
    <w:p w:rsidR="00074339" w:rsidRPr="00074339" w:rsidRDefault="00074339" w:rsidP="00074339">
      <w:pPr>
        <w:spacing w:after="0"/>
        <w:jc w:val="center"/>
        <w:rPr>
          <w:rFonts w:ascii="Times New Roman" w:eastAsia="Times New Roman" w:hAnsi="Times New Roman" w:cs="Times New Roman"/>
          <w:b/>
          <w:sz w:val="24"/>
          <w:szCs w:val="24"/>
          <w:lang w:eastAsia="x-none"/>
        </w:rPr>
      </w:pPr>
      <w:r>
        <w:rPr>
          <w:noProof/>
          <w:lang w:eastAsia="ru-RU"/>
        </w:rPr>
        <w:drawing>
          <wp:inline distT="0" distB="0" distL="0" distR="0" wp14:anchorId="64A838A0" wp14:editId="361B4097">
            <wp:extent cx="5760980" cy="3152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711" t="17179" r="19632" b="22832"/>
                    <a:stretch/>
                  </pic:blipFill>
                  <pic:spPr bwMode="auto">
                    <a:xfrm>
                      <a:off x="0" y="0"/>
                      <a:ext cx="5769975" cy="3157698"/>
                    </a:xfrm>
                    <a:prstGeom prst="rect">
                      <a:avLst/>
                    </a:prstGeom>
                    <a:ln>
                      <a:noFill/>
                    </a:ln>
                    <a:extLst>
                      <a:ext uri="{53640926-AAD7-44D8-BBD7-CCE9431645EC}">
                        <a14:shadowObscured xmlns:a14="http://schemas.microsoft.com/office/drawing/2010/main"/>
                      </a:ext>
                    </a:extLst>
                  </pic:spPr>
                </pic:pic>
              </a:graphicData>
            </a:graphic>
          </wp:inline>
        </w:drawing>
      </w:r>
    </w:p>
    <w:p w:rsidR="00074339" w:rsidRDefault="00074339">
      <w:pPr>
        <w:rPr>
          <w:rFonts w:ascii="Times New Roman" w:eastAsia="Times New Roman" w:hAnsi="Times New Roman" w:cs="Times New Roman"/>
          <w:b/>
          <w:sz w:val="24"/>
          <w:szCs w:val="24"/>
          <w:lang w:val="x-none" w:eastAsia="x-none"/>
        </w:rPr>
      </w:pPr>
    </w:p>
    <w:p w:rsidR="00074339" w:rsidRDefault="00074339">
      <w:pPr>
        <w:rPr>
          <w:rFonts w:ascii="Times New Roman" w:eastAsia="Times New Roman" w:hAnsi="Times New Roman" w:cs="Times New Roman"/>
          <w:b/>
          <w:sz w:val="24"/>
          <w:szCs w:val="24"/>
          <w:lang w:val="x-none" w:eastAsia="x-none"/>
        </w:rPr>
      </w:pPr>
    </w:p>
    <w:p w:rsidR="00074339" w:rsidRDefault="00074339">
      <w:pPr>
        <w:rPr>
          <w:rFonts w:ascii="Times New Roman" w:eastAsia="Times New Roman" w:hAnsi="Times New Roman" w:cs="Times New Roman"/>
          <w:b/>
          <w:sz w:val="24"/>
          <w:szCs w:val="24"/>
          <w:lang w:val="x-none" w:eastAsia="x-none"/>
        </w:rPr>
      </w:pPr>
    </w:p>
    <w:p w:rsidR="00074339" w:rsidRDefault="00074339">
      <w:pPr>
        <w:rPr>
          <w:rFonts w:ascii="Times New Roman" w:eastAsia="Times New Roman" w:hAnsi="Times New Roman" w:cs="Times New Roman"/>
          <w:b/>
          <w:sz w:val="24"/>
          <w:szCs w:val="24"/>
          <w:lang w:val="x-none" w:eastAsia="x-none"/>
        </w:rPr>
      </w:pPr>
    </w:p>
    <w:p w:rsidR="00074339" w:rsidRDefault="00074339">
      <w:pPr>
        <w:rPr>
          <w:rFonts w:ascii="Times New Roman" w:eastAsia="Times New Roman" w:hAnsi="Times New Roman" w:cs="Times New Roman"/>
          <w:b/>
          <w:sz w:val="24"/>
          <w:szCs w:val="24"/>
          <w:lang w:val="x-none" w:eastAsia="x-none"/>
        </w:rPr>
      </w:pPr>
    </w:p>
    <w:p w:rsidR="00074339" w:rsidRDefault="00074339">
      <w:pPr>
        <w:rPr>
          <w:rFonts w:ascii="Times New Roman" w:eastAsia="Times New Roman" w:hAnsi="Times New Roman" w:cs="Times New Roman"/>
          <w:b/>
          <w:sz w:val="24"/>
          <w:szCs w:val="24"/>
          <w:lang w:val="x-none" w:eastAsia="x-none"/>
        </w:rPr>
      </w:pPr>
    </w:p>
    <w:tbl>
      <w:tblPr>
        <w:tblW w:w="0" w:type="auto"/>
        <w:tblLook w:val="00A0" w:firstRow="1" w:lastRow="0" w:firstColumn="1" w:lastColumn="0" w:noHBand="0" w:noVBand="0"/>
      </w:tblPr>
      <w:tblGrid>
        <w:gridCol w:w="4788"/>
        <w:gridCol w:w="360"/>
        <w:gridCol w:w="3960"/>
      </w:tblGrid>
      <w:tr w:rsidR="00074339" w:rsidRPr="002A4297" w:rsidTr="0042667B">
        <w:tc>
          <w:tcPr>
            <w:tcW w:w="4788"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74339" w:rsidRPr="002A4297" w:rsidTr="0042667B">
        <w:tc>
          <w:tcPr>
            <w:tcW w:w="4788"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Должность</w:t>
            </w:r>
          </w:p>
          <w:p w:rsidR="00074339" w:rsidRPr="002A4297" w:rsidRDefault="00074339" w:rsidP="0042667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74339" w:rsidRPr="002A4297" w:rsidRDefault="00074339" w:rsidP="0042667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074339" w:rsidRPr="002A4297" w:rsidRDefault="00074339" w:rsidP="0042667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74339" w:rsidRPr="002A4297" w:rsidRDefault="00074339" w:rsidP="0042667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074339" w:rsidRPr="002A4297" w:rsidRDefault="00074339" w:rsidP="0042667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074339" w:rsidRPr="002A4297" w:rsidRDefault="00074339" w:rsidP="00074339">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B819BF" w:rsidRPr="00074339" w:rsidRDefault="00B819BF" w:rsidP="00B819B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2A4297">
        <w:rPr>
          <w:rFonts w:ascii="Times New Roman" w:eastAsia="Times New Roman" w:hAnsi="Times New Roman" w:cs="Times New Roman"/>
          <w:b/>
          <w:sz w:val="24"/>
          <w:szCs w:val="24"/>
          <w:lang w:val="x-none" w:eastAsia="x-none"/>
        </w:rPr>
        <w:lastRenderedPageBreak/>
        <w:t xml:space="preserve">Приложение № </w:t>
      </w:r>
      <w:r w:rsidR="00074339">
        <w:rPr>
          <w:rFonts w:ascii="Times New Roman" w:eastAsia="Times New Roman" w:hAnsi="Times New Roman" w:cs="Times New Roman"/>
          <w:b/>
          <w:sz w:val="24"/>
          <w:szCs w:val="24"/>
          <w:lang w:eastAsia="x-none"/>
        </w:rPr>
        <w:t>2</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B819BF" w:rsidRPr="002A4297" w:rsidRDefault="00B819BF" w:rsidP="00B819BF">
      <w:pPr>
        <w:widowControl w:val="0"/>
        <w:snapToGrid w:val="0"/>
        <w:spacing w:after="0" w:line="240" w:lineRule="auto"/>
        <w:contextualSpacing/>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B819BF" w:rsidRPr="002A4297" w:rsidRDefault="00B819BF" w:rsidP="00B819BF">
      <w:pPr>
        <w:widowControl w:val="0"/>
        <w:snapToGrid w:val="0"/>
        <w:spacing w:after="0" w:line="240" w:lineRule="auto"/>
        <w:contextualSpacing/>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B819BF" w:rsidRPr="002A4297" w:rsidRDefault="00B819BF" w:rsidP="00B819BF">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B819BF" w:rsidRPr="002A4297" w:rsidRDefault="00B819BF" w:rsidP="00B819B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B819BF" w:rsidRPr="002A4297" w:rsidRDefault="00B819BF" w:rsidP="00B819B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7"/>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8"/>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43"/>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44"/>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45"/>
      </w:r>
    </w:p>
    <w:p w:rsidR="00B819BF" w:rsidRPr="002A4297" w:rsidRDefault="00B819BF" w:rsidP="00B819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49"/>
      </w:r>
    </w:p>
    <w:p w:rsidR="00B819BF" w:rsidRPr="002A4297" w:rsidRDefault="00B819BF" w:rsidP="00B819B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xml:space="preserve">) и автономные (в том числе </w:t>
            </w:r>
            <w:r w:rsidRPr="002A4297">
              <w:rPr>
                <w:rFonts w:ascii="Times New Roman" w:eastAsia="Times New Roman" w:hAnsi="Times New Roman" w:cs="Times New Roman"/>
                <w:sz w:val="24"/>
                <w:szCs w:val="24"/>
                <w:lang w:eastAsia="ru-RU"/>
              </w:rPr>
              <w:lastRenderedPageBreak/>
              <w:t>прецизионные) кондиционеры, сплит системы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19BF" w:rsidRPr="002A4297" w:rsidTr="00CE1B25">
        <w:tc>
          <w:tcPr>
            <w:tcW w:w="37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819BF" w:rsidRPr="002A4297" w:rsidRDefault="00B819BF" w:rsidP="00CE1B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B819BF" w:rsidRPr="002A4297" w:rsidRDefault="00B819BF" w:rsidP="00B819B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819BF" w:rsidRPr="002A4297" w:rsidRDefault="00B819BF" w:rsidP="00B819B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0"/>
      </w:r>
    </w:p>
    <w:p w:rsidR="00B819BF" w:rsidRPr="002A4297" w:rsidRDefault="00B819BF" w:rsidP="00B819B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51"/>
      </w:r>
      <w:r w:rsidRPr="002A4297">
        <w:rPr>
          <w:rFonts w:ascii="Times New Roman" w:eastAsia="Times New Roman" w:hAnsi="Times New Roman" w:cs="Times New Roman"/>
          <w:sz w:val="24"/>
          <w:szCs w:val="24"/>
          <w:lang w:eastAsia="ru-RU"/>
        </w:rPr>
        <w:t>:</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B819BF" w:rsidRPr="002A4297" w:rsidRDefault="00B819BF" w:rsidP="00B819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B819BF" w:rsidRPr="002A4297" w:rsidRDefault="00B819BF" w:rsidP="00B819B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B819BF" w:rsidRPr="002A4297" w:rsidRDefault="00B819BF" w:rsidP="00B819B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7"/>
        <w:gridCol w:w="5776"/>
        <w:gridCol w:w="3447"/>
      </w:tblGrid>
      <w:tr w:rsidR="00B819BF" w:rsidRPr="002A4297" w:rsidTr="00CE1B25">
        <w:tc>
          <w:tcPr>
            <w:tcW w:w="280"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B819BF" w:rsidRPr="002A4297" w:rsidTr="00CE1B25">
        <w:tc>
          <w:tcPr>
            <w:tcW w:w="280"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r>
      <w:tr w:rsidR="00B819BF" w:rsidRPr="002A4297" w:rsidTr="00CE1B25">
        <w:tc>
          <w:tcPr>
            <w:tcW w:w="280"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r>
    </w:tbl>
    <w:p w:rsidR="00B819BF" w:rsidRPr="002A4297" w:rsidRDefault="00B819BF" w:rsidP="00B819B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B819BF" w:rsidRPr="002A4297" w:rsidTr="00CE1B25">
        <w:tc>
          <w:tcPr>
            <w:tcW w:w="355"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64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B819BF" w:rsidRPr="002A4297" w:rsidTr="00CE1B25">
        <w:tc>
          <w:tcPr>
            <w:tcW w:w="355"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966"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92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64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119"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r>
      <w:tr w:rsidR="00B819BF" w:rsidRPr="002A4297" w:rsidTr="00CE1B25">
        <w:tc>
          <w:tcPr>
            <w:tcW w:w="355"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966"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92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64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119"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r>
      <w:tr w:rsidR="00B819BF" w:rsidRPr="002A4297" w:rsidTr="00CE1B25">
        <w:tc>
          <w:tcPr>
            <w:tcW w:w="355"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966"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92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640"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c>
          <w:tcPr>
            <w:tcW w:w="1119" w:type="pct"/>
          </w:tcPr>
          <w:p w:rsidR="00B819BF" w:rsidRPr="002A4297" w:rsidRDefault="00B819BF" w:rsidP="00CE1B25">
            <w:pPr>
              <w:widowControl w:val="0"/>
              <w:snapToGrid w:val="0"/>
              <w:jc w:val="center"/>
              <w:rPr>
                <w:rFonts w:ascii="Times New Roman" w:eastAsia="Times New Roman" w:hAnsi="Times New Roman" w:cs="Times New Roman"/>
                <w:sz w:val="24"/>
                <w:szCs w:val="24"/>
                <w:lang w:eastAsia="ru-RU"/>
              </w:rPr>
            </w:pPr>
          </w:p>
        </w:tc>
      </w:tr>
    </w:tbl>
    <w:p w:rsidR="00B819BF" w:rsidRPr="002A4297" w:rsidRDefault="00B819BF" w:rsidP="00B819B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819BF" w:rsidRPr="002A4297" w:rsidRDefault="00B819BF" w:rsidP="00B819B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B819BF" w:rsidRPr="002A4297" w:rsidRDefault="00B819BF" w:rsidP="00B819B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819BF" w:rsidRPr="002A4297" w:rsidRDefault="00B819BF" w:rsidP="00B819BF">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B819BF" w:rsidRPr="000846E9" w:rsidRDefault="00B819BF" w:rsidP="00B819B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2A4297">
        <w:rPr>
          <w:rFonts w:ascii="Times New Roman" w:eastAsia="Times New Roman" w:hAnsi="Times New Roman" w:cs="Times New Roman"/>
          <w:b/>
          <w:sz w:val="24"/>
          <w:szCs w:val="24"/>
          <w:lang w:val="x-none" w:eastAsia="x-none"/>
        </w:rPr>
        <w:lastRenderedPageBreak/>
        <w:t xml:space="preserve">Приложение № </w:t>
      </w:r>
      <w:r w:rsidR="000846E9">
        <w:rPr>
          <w:rFonts w:ascii="Times New Roman" w:eastAsia="Times New Roman" w:hAnsi="Times New Roman" w:cs="Times New Roman"/>
          <w:b/>
          <w:sz w:val="24"/>
          <w:szCs w:val="24"/>
          <w:lang w:eastAsia="x-none"/>
        </w:rPr>
        <w:t>3</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B819BF" w:rsidRPr="002A4297" w:rsidRDefault="00B819BF" w:rsidP="00B819B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B819BF" w:rsidRPr="002A4297" w:rsidRDefault="00B819BF" w:rsidP="00B819BF">
      <w:pPr>
        <w:widowControl w:val="0"/>
        <w:spacing w:after="0" w:line="240" w:lineRule="auto"/>
        <w:ind w:left="360"/>
        <w:rPr>
          <w:rFonts w:ascii="Times New Roman" w:eastAsia="Times New Roman" w:hAnsi="Times New Roman" w:cs="Times New Roman"/>
          <w:b/>
          <w:sz w:val="24"/>
          <w:szCs w:val="24"/>
          <w:lang w:eastAsia="ru-RU"/>
        </w:rPr>
      </w:pPr>
    </w:p>
    <w:p w:rsidR="00B819BF" w:rsidRPr="002A4297" w:rsidRDefault="00B819BF" w:rsidP="00B819B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B819BF" w:rsidRPr="002A4297" w:rsidRDefault="00B819BF" w:rsidP="00B819BF">
      <w:pPr>
        <w:spacing w:after="0" w:line="240" w:lineRule="auto"/>
        <w:contextualSpacing/>
        <w:jc w:val="both"/>
        <w:rPr>
          <w:rFonts w:ascii="Times New Roman" w:eastAsia="Calibri" w:hAnsi="Times New Roman" w:cs="Times New Roman"/>
          <w:sz w:val="24"/>
          <w:szCs w:val="24"/>
          <w:lang w:eastAsia="ru-RU"/>
        </w:rPr>
      </w:pP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819BF" w:rsidRPr="00F0621D" w:rsidRDefault="00B819BF" w:rsidP="00B819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819BF" w:rsidRPr="001E0678" w:rsidRDefault="00B819BF" w:rsidP="00B819BF">
      <w:pPr>
        <w:autoSpaceDE w:val="0"/>
        <w:autoSpaceDN w:val="0"/>
        <w:spacing w:after="0" w:line="240" w:lineRule="auto"/>
        <w:rPr>
          <w:rFonts w:ascii="Times New Roman" w:eastAsia="Times New Roman" w:hAnsi="Times New Roman" w:cs="Times New Roman"/>
          <w:sz w:val="24"/>
          <w:szCs w:val="24"/>
          <w:lang w:eastAsia="ru-RU"/>
        </w:rPr>
      </w:pPr>
    </w:p>
    <w:p w:rsidR="00B819BF" w:rsidRPr="001E0678" w:rsidRDefault="00B819BF" w:rsidP="00B819BF">
      <w:pPr>
        <w:autoSpaceDE w:val="0"/>
        <w:autoSpaceDN w:val="0"/>
        <w:spacing w:after="0" w:line="240" w:lineRule="auto"/>
        <w:jc w:val="both"/>
        <w:rPr>
          <w:rFonts w:ascii="Times New Roman" w:eastAsia="Times New Roman" w:hAnsi="Times New Roman" w:cs="Times New Roman"/>
          <w:iCs/>
          <w:sz w:val="24"/>
          <w:szCs w:val="24"/>
          <w:lang w:eastAsia="ru-RU"/>
        </w:rPr>
      </w:pPr>
    </w:p>
    <w:p w:rsidR="00B819BF" w:rsidRPr="00140C09" w:rsidRDefault="00B819BF" w:rsidP="00B819B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819BF" w:rsidRPr="002A4297" w:rsidRDefault="00B819BF" w:rsidP="00B819B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819BF" w:rsidRPr="002A4297" w:rsidRDefault="00B819BF" w:rsidP="00B819BF">
      <w:pPr>
        <w:spacing w:after="0" w:line="240" w:lineRule="auto"/>
        <w:contextualSpacing/>
        <w:jc w:val="both"/>
        <w:rPr>
          <w:rFonts w:ascii="Times New Roman" w:eastAsia="Calibri" w:hAnsi="Times New Roman" w:cs="Times New Roman"/>
          <w:sz w:val="24"/>
          <w:szCs w:val="20"/>
          <w:lang w:eastAsia="ru-RU"/>
        </w:rPr>
      </w:pPr>
    </w:p>
    <w:p w:rsidR="00B819BF" w:rsidRPr="002A4297" w:rsidRDefault="00B819BF" w:rsidP="00B819B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0846E9" w:rsidRDefault="00B819BF" w:rsidP="000846E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vertAlign w:val="superscript"/>
          <w:lang w:val="x-none" w:eastAsia="x-none"/>
        </w:rPr>
        <w:lastRenderedPageBreak/>
        <w:footnoteReference w:id="64"/>
      </w:r>
      <w:r w:rsidRPr="002A4297">
        <w:rPr>
          <w:rFonts w:ascii="Times New Roman" w:eastAsia="Times New Roman" w:hAnsi="Times New Roman" w:cs="Times New Roman"/>
          <w:b/>
          <w:sz w:val="24"/>
          <w:szCs w:val="24"/>
          <w:lang w:val="x-none" w:eastAsia="x-none"/>
        </w:rPr>
        <w:t xml:space="preserve">Приложение № </w:t>
      </w:r>
      <w:r w:rsidR="000846E9">
        <w:rPr>
          <w:rFonts w:ascii="Times New Roman" w:eastAsia="Times New Roman" w:hAnsi="Times New Roman" w:cs="Times New Roman"/>
          <w:b/>
          <w:sz w:val="24"/>
          <w:szCs w:val="24"/>
          <w:lang w:eastAsia="x-none"/>
        </w:rPr>
        <w:t>4</w:t>
      </w:r>
      <w:r w:rsidR="000846E9" w:rsidRPr="000846E9">
        <w:rPr>
          <w:rFonts w:ascii="Times New Roman" w:eastAsia="Times New Roman" w:hAnsi="Times New Roman" w:cs="Times New Roman"/>
          <w:sz w:val="24"/>
          <w:szCs w:val="24"/>
          <w:lang w:eastAsia="ru-RU"/>
        </w:rPr>
        <w:t xml:space="preserve"> </w:t>
      </w:r>
    </w:p>
    <w:p w:rsidR="000846E9" w:rsidRPr="002A4297" w:rsidRDefault="000846E9" w:rsidP="000846E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0846E9" w:rsidRPr="002A4297" w:rsidRDefault="000846E9" w:rsidP="000846E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0846E9" w:rsidRPr="002A4297" w:rsidRDefault="000846E9" w:rsidP="000846E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B819BF" w:rsidRPr="002A4297" w:rsidRDefault="00B819BF" w:rsidP="00B819B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
    <w:p w:rsidR="000846E9" w:rsidRPr="000846E9" w:rsidRDefault="000846E9" w:rsidP="000846E9">
      <w:pPr>
        <w:widowControl w:val="0"/>
        <w:spacing w:after="0" w:line="240" w:lineRule="auto"/>
        <w:ind w:firstLine="426"/>
        <w:rPr>
          <w:rFonts w:ascii="Times New Roman" w:eastAsia="Times New Roman" w:hAnsi="Times New Roman" w:cs="Times New Roman"/>
          <w:b/>
          <w:sz w:val="24"/>
          <w:szCs w:val="24"/>
          <w:lang w:eastAsia="ru-RU"/>
        </w:rPr>
      </w:pPr>
    </w:p>
    <w:p w:rsidR="000846E9" w:rsidRPr="000846E9" w:rsidRDefault="000846E9" w:rsidP="000846E9">
      <w:pPr>
        <w:widowControl w:val="0"/>
        <w:spacing w:after="0" w:line="240" w:lineRule="auto"/>
        <w:ind w:firstLine="426"/>
        <w:jc w:val="center"/>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СОГЛАШЕНИЕ ОБ ИСПОЛЬЗОВАНИИ ПРИНЦИПОВ КОРПОРАТИВНОЙ СОЦИАЛЬНОЙ ОТВЕТСТВЕННОСТИ</w:t>
      </w:r>
    </w:p>
    <w:p w:rsidR="000846E9" w:rsidRPr="000846E9" w:rsidRDefault="000846E9" w:rsidP="000846E9">
      <w:pPr>
        <w:widowControl w:val="0"/>
        <w:spacing w:after="0" w:line="240" w:lineRule="auto"/>
        <w:ind w:firstLine="426"/>
        <w:rPr>
          <w:rFonts w:ascii="Times New Roman" w:eastAsia="Times New Roman" w:hAnsi="Times New Roman" w:cs="Times New Roman"/>
          <w:sz w:val="24"/>
          <w:szCs w:val="24"/>
          <w:lang w:eastAsia="ru-RU"/>
        </w:rPr>
      </w:pP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bookmarkStart w:id="16" w:name="OLE_LINK2"/>
      <w:bookmarkStart w:id="17" w:name="OLE_LINK1"/>
      <w:r w:rsidRPr="000846E9">
        <w:rPr>
          <w:rFonts w:ascii="Times New Roman" w:eastAsia="Times New Roman" w:hAnsi="Times New Roman" w:cs="Times New Roman"/>
          <w:sz w:val="24"/>
          <w:szCs w:val="24"/>
          <w:lang w:eastAsia="ru-RU"/>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Добросовестная конкуренция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Конфиденциальность и интеллектуальная собственность</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Выявление проблем</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Недопущение использования сырья из регионов, охваченных военными конфликтами</w:t>
      </w:r>
      <w:r w:rsidRPr="000846E9">
        <w:rPr>
          <w:rFonts w:ascii="Times New Roman" w:eastAsia="Times New Roman" w:hAnsi="Times New Roman" w:cs="Times New Roman"/>
          <w:b/>
          <w:sz w:val="24"/>
          <w:szCs w:val="24"/>
          <w:vertAlign w:val="superscript"/>
          <w:lang w:eastAsia="ru-RU"/>
        </w:rPr>
        <w:footnoteReference w:id="65"/>
      </w:r>
      <w:r w:rsidRPr="000846E9">
        <w:rPr>
          <w:rFonts w:ascii="Times New Roman" w:eastAsia="Times New Roman" w:hAnsi="Times New Roman" w:cs="Times New Roman"/>
          <w:b/>
          <w:sz w:val="24"/>
          <w:szCs w:val="24"/>
          <w:lang w:eastAsia="ru-RU"/>
        </w:rPr>
        <w:t xml:space="preserve">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Контрагент</w:t>
      </w:r>
      <w:r w:rsidRPr="000846E9">
        <w:rPr>
          <w:rFonts w:ascii="Times New Roman" w:eastAsia="Times New Roman" w:hAnsi="Times New Roman" w:cs="Times New Roman"/>
          <w:sz w:val="24"/>
          <w:szCs w:val="24"/>
          <w:vertAlign w:val="superscript"/>
          <w:lang w:eastAsia="ru-RU"/>
        </w:rPr>
        <w:footnoteReference w:id="66"/>
      </w:r>
      <w:r w:rsidRPr="000846E9">
        <w:rPr>
          <w:rFonts w:ascii="Times New Roman" w:eastAsia="Times New Roman" w:hAnsi="Times New Roman" w:cs="Times New Roman"/>
          <w:sz w:val="24"/>
          <w:szCs w:val="24"/>
          <w:lang w:eastAsia="ru-RU"/>
        </w:rPr>
        <w:t xml:space="preserve"> не использует в производстве товаров, поставляемых Банку</w:t>
      </w:r>
      <w:r w:rsidRPr="000846E9">
        <w:rPr>
          <w:rFonts w:ascii="Times New Roman" w:eastAsia="Times New Roman" w:hAnsi="Times New Roman" w:cs="Times New Roman"/>
          <w:sz w:val="24"/>
          <w:szCs w:val="24"/>
          <w:vertAlign w:val="superscript"/>
          <w:lang w:eastAsia="ru-RU"/>
        </w:rPr>
        <w:footnoteReference w:id="67"/>
      </w:r>
      <w:r w:rsidRPr="000846E9">
        <w:rPr>
          <w:rFonts w:ascii="Times New Roman" w:eastAsia="Times New Roman" w:hAnsi="Times New Roman" w:cs="Times New Roman"/>
          <w:sz w:val="24"/>
          <w:szCs w:val="24"/>
          <w:lang w:eastAsia="ru-RU"/>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Недопущение использования детского труда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Свобода занятости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Обеспечение равных прав и условий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w:t>
      </w:r>
      <w:r w:rsidRPr="000846E9">
        <w:rPr>
          <w:rFonts w:ascii="Times New Roman" w:eastAsia="Times New Roman" w:hAnsi="Times New Roman" w:cs="Times New Roman"/>
          <w:sz w:val="24"/>
          <w:szCs w:val="24"/>
          <w:lang w:eastAsia="ru-RU"/>
        </w:rPr>
        <w:lastRenderedPageBreak/>
        <w:t xml:space="preserve">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Справедливое обращение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Соблюдение время работы, справедливый размер оплаты труда и льготы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Свобода ассоциации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Требования к качеству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Контрагент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Банка в качественных товарах, работах и услугах, безопасных при использовании по назначению.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Забота о здоровье и безопасности, соблюдение экологических требований</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Безопасность продукции</w:t>
      </w:r>
      <w:r w:rsidRPr="000846E9">
        <w:rPr>
          <w:rFonts w:ascii="Times New Roman" w:eastAsia="Times New Roman" w:hAnsi="Times New Roman" w:cs="Times New Roman"/>
          <w:b/>
          <w:sz w:val="24"/>
          <w:szCs w:val="24"/>
          <w:vertAlign w:val="superscript"/>
          <w:lang w:eastAsia="ru-RU"/>
        </w:rPr>
        <w:footnoteReference w:id="68"/>
      </w:r>
      <w:r w:rsidRPr="000846E9">
        <w:rPr>
          <w:rFonts w:ascii="Times New Roman" w:eastAsia="Times New Roman" w:hAnsi="Times New Roman" w:cs="Times New Roman"/>
          <w:b/>
          <w:sz w:val="24"/>
          <w:szCs w:val="24"/>
          <w:lang w:eastAsia="ru-RU"/>
        </w:rPr>
        <w:t xml:space="preserve">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Контрагент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Банку.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В рамках своей зоны ответственности Контрагент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Безопасность и охрана труда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w:t>
      </w:r>
      <w:r w:rsidRPr="000846E9">
        <w:rPr>
          <w:rFonts w:ascii="Times New Roman" w:eastAsia="Times New Roman" w:hAnsi="Times New Roman" w:cs="Times New Roman"/>
          <w:sz w:val="24"/>
          <w:szCs w:val="24"/>
          <w:lang w:eastAsia="ru-RU"/>
        </w:rPr>
        <w:lastRenderedPageBreak/>
        <w:t xml:space="preserve">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Безопасность рабочих процессов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Контрагент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Контрагент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Готовность к чрезвычайным ситуациям, информирование о рисках и обучение сотрудников действиям при чрезвычайных ситуациях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Безопасное обращение с отходами и выбросами</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Контрагент должен располагать системами для предотвращения или минимизации аварийных разливов и выбросов в окружающую среду</w:t>
      </w:r>
      <w:r w:rsidRPr="000846E9">
        <w:rPr>
          <w:rFonts w:ascii="Times New Roman" w:eastAsia="Times New Roman" w:hAnsi="Times New Roman" w:cs="Times New Roman"/>
          <w:sz w:val="24"/>
          <w:szCs w:val="24"/>
          <w:vertAlign w:val="superscript"/>
          <w:lang w:eastAsia="ru-RU"/>
        </w:rPr>
        <w:footnoteReference w:id="69"/>
      </w:r>
      <w:r w:rsidRPr="000846E9">
        <w:rPr>
          <w:rFonts w:ascii="Times New Roman" w:eastAsia="Times New Roman" w:hAnsi="Times New Roman" w:cs="Times New Roman"/>
          <w:sz w:val="24"/>
          <w:szCs w:val="24"/>
          <w:lang w:eastAsia="ru-RU"/>
        </w:rPr>
        <w:t xml:space="preserve">.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Бережное отношение к ресурсам и защита климата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Коммуникации с привлекаемыми третьими лицами</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Контрагент должен обеспечить соблюдение всеми его субподрядчиками, поставщиками и производителями норм и принципов, изложенных в настоящем Соглашении.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Управление рисками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b/>
          <w:sz w:val="24"/>
          <w:szCs w:val="24"/>
          <w:lang w:eastAsia="ru-RU"/>
        </w:rPr>
      </w:pPr>
      <w:r w:rsidRPr="000846E9">
        <w:rPr>
          <w:rFonts w:ascii="Times New Roman" w:eastAsia="Times New Roman" w:hAnsi="Times New Roman" w:cs="Times New Roman"/>
          <w:b/>
          <w:sz w:val="24"/>
          <w:szCs w:val="24"/>
          <w:lang w:eastAsia="ru-RU"/>
        </w:rPr>
        <w:t xml:space="preserve">Постоянное совершенствование </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w:t>
      </w:r>
      <w:r w:rsidRPr="000846E9">
        <w:rPr>
          <w:rFonts w:ascii="Times New Roman" w:eastAsia="Times New Roman" w:hAnsi="Times New Roman" w:cs="Times New Roman"/>
          <w:sz w:val="24"/>
          <w:szCs w:val="24"/>
          <w:lang w:eastAsia="ru-RU"/>
        </w:rPr>
        <w:lastRenderedPageBreak/>
        <w:t>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r w:rsidRPr="000846E9">
        <w:rPr>
          <w:rFonts w:ascii="Times New Roman" w:eastAsia="Times New Roman" w:hAnsi="Times New Roman" w:cs="Times New Roman"/>
          <w:sz w:val="24"/>
          <w:szCs w:val="24"/>
          <w:lang w:eastAsia="ru-RU"/>
        </w:rPr>
        <w:t>Настоящее Соглашение действует в течение срока, определенного в пункте ___</w:t>
      </w:r>
      <w:r w:rsidRPr="000846E9">
        <w:rPr>
          <w:rFonts w:ascii="Times New Roman" w:eastAsia="Times New Roman" w:hAnsi="Times New Roman" w:cs="Times New Roman"/>
          <w:sz w:val="24"/>
          <w:szCs w:val="24"/>
          <w:vertAlign w:val="superscript"/>
          <w:lang w:eastAsia="ru-RU"/>
        </w:rPr>
        <w:footnoteReference w:id="70"/>
      </w:r>
      <w:r w:rsidRPr="000846E9">
        <w:rPr>
          <w:rFonts w:ascii="Times New Roman" w:eastAsia="Times New Roman" w:hAnsi="Times New Roman" w:cs="Times New Roman"/>
          <w:sz w:val="24"/>
          <w:szCs w:val="24"/>
          <w:lang w:eastAsia="ru-RU"/>
        </w:rPr>
        <w:t xml:space="preserve"> Договора.</w:t>
      </w:r>
    </w:p>
    <w:p w:rsidR="000846E9" w:rsidRPr="000846E9" w:rsidRDefault="000846E9" w:rsidP="000846E9">
      <w:pPr>
        <w:widowControl w:val="0"/>
        <w:spacing w:after="0" w:line="240" w:lineRule="auto"/>
        <w:ind w:firstLine="426"/>
        <w:jc w:val="both"/>
        <w:rPr>
          <w:rFonts w:ascii="Times New Roman" w:eastAsia="Times New Roman" w:hAnsi="Times New Roman" w:cs="Times New Roman"/>
          <w:sz w:val="24"/>
          <w:szCs w:val="24"/>
          <w:lang w:eastAsia="ru-RU"/>
        </w:rPr>
      </w:pPr>
    </w:p>
    <w:p w:rsidR="000846E9" w:rsidRPr="000846E9" w:rsidRDefault="000846E9" w:rsidP="000846E9">
      <w:pPr>
        <w:widowControl w:val="0"/>
        <w:spacing w:after="0" w:line="240" w:lineRule="auto"/>
        <w:ind w:firstLine="426"/>
        <w:rPr>
          <w:rFonts w:ascii="Times New Roman" w:eastAsia="Times New Roman" w:hAnsi="Times New Roman" w:cs="Times New Roman"/>
          <w:b/>
          <w:bCs/>
          <w:sz w:val="24"/>
          <w:szCs w:val="24"/>
          <w:lang w:eastAsia="ru-RU"/>
        </w:rPr>
      </w:pPr>
      <w:r w:rsidRPr="000846E9">
        <w:rPr>
          <w:rFonts w:ascii="Times New Roman" w:eastAsia="Times New Roman" w:hAnsi="Times New Roman" w:cs="Times New Roman"/>
          <w:b/>
          <w:bCs/>
          <w:sz w:val="24"/>
          <w:szCs w:val="24"/>
          <w:lang w:eastAsia="ru-RU"/>
        </w:rPr>
        <w:t>ПОДПИСИ СТОРОН:</w:t>
      </w:r>
    </w:p>
    <w:bookmarkEnd w:id="16"/>
    <w:bookmarkEnd w:id="17"/>
    <w:p w:rsidR="00B819BF" w:rsidRDefault="00B819BF" w:rsidP="00B819BF">
      <w:pPr>
        <w:widowControl w:val="0"/>
        <w:spacing w:after="0" w:line="240" w:lineRule="auto"/>
        <w:ind w:firstLine="426"/>
        <w:rPr>
          <w:rFonts w:ascii="Times New Roman" w:eastAsia="Times New Roman" w:hAnsi="Times New Roman" w:cs="Times New Roman"/>
          <w:sz w:val="24"/>
          <w:szCs w:val="24"/>
          <w:lang w:eastAsia="ru-RU"/>
        </w:rPr>
      </w:pPr>
    </w:p>
    <w:p w:rsidR="000846E9" w:rsidRPr="002A4297" w:rsidRDefault="000846E9" w:rsidP="00B819BF">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819BF" w:rsidRPr="002A4297" w:rsidTr="00CE1B25">
        <w:tc>
          <w:tcPr>
            <w:tcW w:w="4788"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819BF" w:rsidRPr="002A4297" w:rsidRDefault="00B819BF" w:rsidP="00CE1B2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819BF" w:rsidRPr="002A4297" w:rsidRDefault="00B819BF" w:rsidP="00CE1B2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819BF" w:rsidRPr="00930A8B" w:rsidRDefault="00B819BF" w:rsidP="00B819BF">
      <w:pPr>
        <w:rPr>
          <w:rFonts w:ascii="Times New Roman" w:hAnsi="Times New Roman" w:cs="Times New Roman"/>
          <w:sz w:val="24"/>
        </w:rPr>
      </w:pPr>
    </w:p>
    <w:p w:rsidR="004A0A76" w:rsidRDefault="004A0A76"/>
    <w:sectPr w:rsidR="004A0A76" w:rsidSect="00B819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F6" w:rsidRDefault="006F6DF6" w:rsidP="00B819BF">
      <w:pPr>
        <w:spacing w:after="0" w:line="240" w:lineRule="auto"/>
      </w:pPr>
      <w:r>
        <w:separator/>
      </w:r>
    </w:p>
  </w:endnote>
  <w:endnote w:type="continuationSeparator" w:id="0">
    <w:p w:rsidR="006F6DF6" w:rsidRDefault="006F6DF6" w:rsidP="00B8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6F6D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DB3288">
    <w:pPr>
      <w:pStyle w:val="a7"/>
    </w:pPr>
    <w:r>
      <w:rPr>
        <w:noProof/>
        <w:lang w:eastAsia="ru-RU"/>
      </w:rPr>
      <w:drawing>
        <wp:inline distT="0" distB="0" distL="0" distR="0">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6F6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F6" w:rsidRDefault="006F6DF6" w:rsidP="00B819BF">
      <w:pPr>
        <w:spacing w:after="0" w:line="240" w:lineRule="auto"/>
      </w:pPr>
      <w:r>
        <w:separator/>
      </w:r>
    </w:p>
  </w:footnote>
  <w:footnote w:type="continuationSeparator" w:id="0">
    <w:p w:rsidR="006F6DF6" w:rsidRDefault="006F6DF6" w:rsidP="00B819BF">
      <w:pPr>
        <w:spacing w:after="0" w:line="240" w:lineRule="auto"/>
      </w:pPr>
      <w:r>
        <w:continuationSeparator/>
      </w:r>
    </w:p>
  </w:footnote>
  <w:footnote w:id="1">
    <w:p w:rsidR="006F6DF6" w:rsidRPr="00623348" w:rsidRDefault="006F6DF6" w:rsidP="00B819BF">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6F6DF6" w:rsidRPr="00BD61A9" w:rsidRDefault="006F6DF6" w:rsidP="00B819BF">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6F6DF6" w:rsidRPr="00BD61A9" w:rsidRDefault="006F6DF6" w:rsidP="00B819BF">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6F6DF6" w:rsidRPr="001B6F8F" w:rsidRDefault="006F6DF6" w:rsidP="00B819BF">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6F6DF6" w:rsidRPr="00780340" w:rsidRDefault="006F6DF6" w:rsidP="00B819BF">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
    <w:p w:rsidR="006F6DF6" w:rsidRPr="00EB3074" w:rsidRDefault="006F6DF6" w:rsidP="00B819BF">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7">
    <w:p w:rsidR="006F6DF6" w:rsidRPr="00A878C6" w:rsidRDefault="006F6DF6" w:rsidP="00B819BF">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8">
    <w:p w:rsidR="006F6DF6" w:rsidRPr="001B6F8F" w:rsidRDefault="006F6DF6" w:rsidP="00B819BF">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9">
    <w:p w:rsidR="006F6DF6" w:rsidRPr="00623348" w:rsidRDefault="006F6DF6" w:rsidP="00B819BF">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0">
    <w:p w:rsidR="006F6DF6" w:rsidRPr="00A6567F" w:rsidRDefault="006F6DF6" w:rsidP="00B819BF">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11">
    <w:p w:rsidR="006F6DF6" w:rsidRPr="00A6567F" w:rsidRDefault="006F6DF6" w:rsidP="00B819BF">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2">
    <w:p w:rsidR="006F6DF6" w:rsidRPr="00A6567F" w:rsidRDefault="006F6DF6" w:rsidP="00B819BF">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3">
    <w:p w:rsidR="006F6DF6" w:rsidRPr="001B6F8F" w:rsidRDefault="006F6DF6" w:rsidP="00B819BF">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14">
    <w:p w:rsidR="006F6DF6" w:rsidRPr="00A6567F" w:rsidRDefault="006F6DF6" w:rsidP="00B819BF">
      <w:pPr>
        <w:pStyle w:val="a9"/>
        <w:jc w:val="both"/>
      </w:pPr>
      <w:r w:rsidRPr="00A6567F">
        <w:rPr>
          <w:rStyle w:val="af5"/>
        </w:rPr>
        <w:footnoteRef/>
      </w:r>
      <w:r w:rsidRPr="00A6567F">
        <w:t xml:space="preserve"> Указывается полное наименование кредитной организации.</w:t>
      </w:r>
    </w:p>
  </w:footnote>
  <w:footnote w:id="15">
    <w:p w:rsidR="006F6DF6" w:rsidRPr="00A6567F" w:rsidRDefault="006F6DF6" w:rsidP="00B819BF">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16">
    <w:p w:rsidR="006F6DF6" w:rsidRPr="00A6567F" w:rsidRDefault="006F6DF6" w:rsidP="00B819BF">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7">
    <w:p w:rsidR="006F6DF6" w:rsidRPr="00250BA0" w:rsidRDefault="006F6DF6" w:rsidP="00B819BF">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18">
    <w:p w:rsidR="006F6DF6" w:rsidRPr="00E22219" w:rsidRDefault="006F6DF6" w:rsidP="00B819BF">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19">
    <w:p w:rsidR="006F6DF6" w:rsidRPr="00E22219" w:rsidRDefault="006F6DF6" w:rsidP="00B819BF">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20">
    <w:p w:rsidR="006F6DF6" w:rsidRPr="00A6567F" w:rsidRDefault="006F6DF6" w:rsidP="00B819BF">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1">
    <w:p w:rsidR="006F6DF6" w:rsidRPr="00A6567F" w:rsidRDefault="006F6DF6" w:rsidP="00B819BF">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2">
    <w:p w:rsidR="006F6DF6" w:rsidRPr="00C26408" w:rsidRDefault="006F6DF6" w:rsidP="00B819BF">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23">
    <w:p w:rsidR="006F6DF6" w:rsidRPr="00C26408" w:rsidRDefault="006F6DF6" w:rsidP="00B819BF">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24">
    <w:p w:rsidR="006F6DF6" w:rsidRPr="00A6567F" w:rsidRDefault="006F6DF6" w:rsidP="00B819BF">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5">
    <w:p w:rsidR="006F6DF6" w:rsidRPr="00A6567F" w:rsidRDefault="006F6DF6" w:rsidP="00B819BF">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6">
    <w:p w:rsidR="006F6DF6" w:rsidRPr="00A6567F" w:rsidRDefault="006F6DF6" w:rsidP="00B819BF">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7">
    <w:p w:rsidR="006F6DF6" w:rsidRPr="00C26408" w:rsidRDefault="006F6DF6" w:rsidP="00B819B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8">
    <w:p w:rsidR="006F6DF6" w:rsidRPr="00606687" w:rsidRDefault="006F6DF6" w:rsidP="00B819B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9">
    <w:p w:rsidR="006F6DF6" w:rsidRPr="00606687" w:rsidRDefault="006F6DF6" w:rsidP="00B819B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0">
    <w:p w:rsidR="006F6DF6" w:rsidRPr="00850295" w:rsidRDefault="006F6DF6" w:rsidP="00B819BF">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31">
    <w:p w:rsidR="006F6DF6" w:rsidRPr="001B6F8F" w:rsidRDefault="006F6DF6" w:rsidP="00B819BF">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2">
    <w:p w:rsidR="006F6DF6" w:rsidRPr="001B6F8F" w:rsidRDefault="006F6DF6" w:rsidP="00B819BF">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33">
    <w:p w:rsidR="006F6DF6" w:rsidRPr="001B6F8F" w:rsidRDefault="006F6DF6" w:rsidP="00B819BF">
      <w:pPr>
        <w:pStyle w:val="a9"/>
        <w:jc w:val="both"/>
      </w:pPr>
      <w:r w:rsidRPr="001B6F8F">
        <w:rPr>
          <w:rStyle w:val="af5"/>
        </w:rPr>
        <w:footnoteRef/>
      </w:r>
      <w:r w:rsidRPr="001B6F8F">
        <w:t xml:space="preserve"> Пункт указывается при необходимости.</w:t>
      </w:r>
    </w:p>
  </w:footnote>
  <w:footnote w:id="34">
    <w:p w:rsidR="00074339" w:rsidRPr="001B6F8F" w:rsidRDefault="00074339" w:rsidP="00074339">
      <w:pPr>
        <w:pStyle w:val="a9"/>
        <w:jc w:val="both"/>
      </w:pPr>
      <w:r w:rsidRPr="001B6F8F">
        <w:rPr>
          <w:rStyle w:val="af5"/>
        </w:rPr>
        <w:footnoteRef/>
      </w:r>
      <w:r w:rsidRPr="001B6F8F">
        <w:t xml:space="preserve"> Пункт указывается при необходимости.</w:t>
      </w:r>
    </w:p>
  </w:footnote>
  <w:footnote w:id="35">
    <w:p w:rsidR="006F6DF6" w:rsidRPr="001B6F8F" w:rsidRDefault="006F6DF6" w:rsidP="00B819BF">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6F6DF6" w:rsidRPr="001B6F8F" w:rsidRDefault="006F6DF6" w:rsidP="00B819BF">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7">
    <w:p w:rsidR="006F6DF6" w:rsidRPr="001B6F8F" w:rsidRDefault="006F6DF6" w:rsidP="00B819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38">
    <w:p w:rsidR="006F6DF6" w:rsidRPr="001B6F8F" w:rsidRDefault="006F6DF6" w:rsidP="00B819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39">
    <w:p w:rsidR="006F6DF6" w:rsidRPr="001B6F8F" w:rsidRDefault="006F6DF6" w:rsidP="00B819BF">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6F6DF6" w:rsidRPr="001B6F8F" w:rsidRDefault="006F6DF6" w:rsidP="00B819BF">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6F6DF6" w:rsidRPr="001B6F8F" w:rsidRDefault="006F6DF6" w:rsidP="00B819BF">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2">
    <w:p w:rsidR="006F6DF6" w:rsidRPr="001B6F8F" w:rsidRDefault="006F6DF6" w:rsidP="00B819BF">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43">
    <w:p w:rsidR="006F6DF6" w:rsidRPr="001B6F8F" w:rsidRDefault="006F6DF6" w:rsidP="00B819BF">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4">
    <w:p w:rsidR="006F6DF6" w:rsidRPr="001B6F8F" w:rsidRDefault="006F6DF6" w:rsidP="00B819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5">
    <w:p w:rsidR="006F6DF6" w:rsidRPr="001B6F8F" w:rsidRDefault="006F6DF6" w:rsidP="00B819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6">
    <w:p w:rsidR="006F6DF6" w:rsidRPr="001B6F8F" w:rsidRDefault="006F6DF6" w:rsidP="00B819BF">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7">
    <w:p w:rsidR="006F6DF6" w:rsidRPr="001B6F8F" w:rsidRDefault="006F6DF6" w:rsidP="00B819BF">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8">
    <w:p w:rsidR="006F6DF6" w:rsidRPr="001B6F8F" w:rsidRDefault="006F6DF6" w:rsidP="00B819BF">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9">
    <w:p w:rsidR="006F6DF6" w:rsidRPr="001B6F8F" w:rsidRDefault="006F6DF6" w:rsidP="00B819BF">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50">
    <w:p w:rsidR="006F6DF6" w:rsidRPr="001B6F8F" w:rsidRDefault="006F6DF6" w:rsidP="00B819BF">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51">
    <w:p w:rsidR="006F6DF6" w:rsidRPr="001B6F8F" w:rsidRDefault="006F6DF6" w:rsidP="00B819BF">
      <w:pPr>
        <w:pStyle w:val="a9"/>
        <w:jc w:val="both"/>
      </w:pPr>
      <w:r w:rsidRPr="001B6F8F">
        <w:rPr>
          <w:rStyle w:val="af5"/>
        </w:rPr>
        <w:footnoteRef/>
      </w:r>
      <w:r w:rsidRPr="001B6F8F">
        <w:t xml:space="preserve"> Указывается каждый индивидуальный прибор учета отдельно.</w:t>
      </w:r>
    </w:p>
  </w:footnote>
  <w:footnote w:id="52">
    <w:p w:rsidR="006F6DF6" w:rsidRPr="001B6F8F" w:rsidRDefault="006F6DF6" w:rsidP="00B819BF">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53">
    <w:p w:rsidR="006F6DF6" w:rsidRPr="001B6F8F" w:rsidRDefault="006F6DF6" w:rsidP="00B819BF">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54">
    <w:p w:rsidR="006F6DF6" w:rsidRPr="001B6F8F" w:rsidRDefault="006F6DF6" w:rsidP="00B819BF">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55">
    <w:p w:rsidR="006F6DF6" w:rsidRPr="001B6F8F" w:rsidRDefault="006F6DF6" w:rsidP="00B819BF">
      <w:pPr>
        <w:pStyle w:val="a9"/>
        <w:jc w:val="both"/>
      </w:pPr>
      <w:r w:rsidRPr="001B6F8F">
        <w:rPr>
          <w:rStyle w:val="af5"/>
        </w:rPr>
        <w:footnoteRef/>
      </w:r>
      <w:r w:rsidRPr="001B6F8F">
        <w:t xml:space="preserve"> Пункт указывается при необходимости.</w:t>
      </w:r>
    </w:p>
  </w:footnote>
  <w:footnote w:id="56">
    <w:p w:rsidR="006F6DF6" w:rsidRPr="001B6F8F" w:rsidRDefault="006F6DF6" w:rsidP="00B819BF">
      <w:pPr>
        <w:pStyle w:val="a9"/>
        <w:jc w:val="both"/>
      </w:pPr>
      <w:r w:rsidRPr="001B6F8F">
        <w:rPr>
          <w:rStyle w:val="af5"/>
        </w:rPr>
        <w:footnoteRef/>
      </w:r>
      <w:r w:rsidRPr="001B6F8F">
        <w:t xml:space="preserve"> Пункт указывается при необходимости.</w:t>
      </w:r>
    </w:p>
  </w:footnote>
  <w:footnote w:id="57">
    <w:p w:rsidR="006F6DF6" w:rsidRPr="00887520" w:rsidRDefault="006F6DF6" w:rsidP="00B819BF">
      <w:pPr>
        <w:pStyle w:val="a9"/>
        <w:jc w:val="both"/>
      </w:pPr>
      <w:r w:rsidRPr="00887520">
        <w:rPr>
          <w:rStyle w:val="af5"/>
        </w:rPr>
        <w:footnoteRef/>
      </w:r>
      <w:r w:rsidRPr="00887520">
        <w:t xml:space="preserve"> Если применимо.</w:t>
      </w:r>
    </w:p>
  </w:footnote>
  <w:footnote w:id="58">
    <w:p w:rsidR="006F6DF6" w:rsidRPr="00887520" w:rsidRDefault="006F6DF6" w:rsidP="00B819B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9">
    <w:p w:rsidR="006F6DF6" w:rsidRPr="00887520" w:rsidRDefault="006F6DF6" w:rsidP="00B819B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0">
    <w:p w:rsidR="006F6DF6" w:rsidRPr="00887520" w:rsidRDefault="006F6DF6" w:rsidP="00B819BF">
      <w:pPr>
        <w:pStyle w:val="a9"/>
        <w:jc w:val="both"/>
      </w:pPr>
      <w:r w:rsidRPr="00887520">
        <w:rPr>
          <w:rStyle w:val="af5"/>
        </w:rPr>
        <w:footnoteRef/>
      </w:r>
      <w:r w:rsidRPr="00887520">
        <w:t xml:space="preserve"> Номер (при наличии), дата и заголовок (при наличии).</w:t>
      </w:r>
    </w:p>
  </w:footnote>
  <w:footnote w:id="61">
    <w:p w:rsidR="006F6DF6" w:rsidRPr="00732A86" w:rsidRDefault="006F6DF6" w:rsidP="00B819B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62">
    <w:p w:rsidR="006F6DF6" w:rsidRPr="00732A86" w:rsidRDefault="006F6DF6" w:rsidP="00B819BF">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63">
    <w:p w:rsidR="006F6DF6" w:rsidRPr="001B6F8F" w:rsidRDefault="006F6DF6" w:rsidP="00B819BF">
      <w:pPr>
        <w:pStyle w:val="a9"/>
        <w:jc w:val="both"/>
      </w:pPr>
      <w:r w:rsidRPr="001B6F8F">
        <w:rPr>
          <w:rStyle w:val="af5"/>
        </w:rPr>
        <w:footnoteRef/>
      </w:r>
      <w:r w:rsidRPr="001B6F8F">
        <w:t xml:space="preserve"> Пункт указывается при необходимости.</w:t>
      </w:r>
    </w:p>
  </w:footnote>
  <w:footnote w:id="64">
    <w:p w:rsidR="006F6DF6" w:rsidRPr="001B6F8F" w:rsidRDefault="006F6DF6" w:rsidP="00B819BF">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65">
    <w:p w:rsidR="000846E9" w:rsidRDefault="000846E9" w:rsidP="000846E9">
      <w:pPr>
        <w:pStyle w:val="a9"/>
        <w:jc w:val="both"/>
        <w:rPr>
          <w:b/>
          <w:sz w:val="18"/>
          <w:szCs w:val="18"/>
        </w:rPr>
      </w:pPr>
      <w:r>
        <w:rPr>
          <w:rStyle w:val="af5"/>
          <w:sz w:val="18"/>
          <w:szCs w:val="18"/>
        </w:rPr>
        <w:footnoteRef/>
      </w:r>
      <w:r>
        <w:rPr>
          <w:sz w:val="18"/>
          <w:szCs w:val="18"/>
        </w:rPr>
        <w:t xml:space="preserve"> Если применимо к отношениям Сторон.</w:t>
      </w:r>
    </w:p>
  </w:footnote>
  <w:footnote w:id="66">
    <w:p w:rsidR="000846E9" w:rsidRDefault="000846E9" w:rsidP="000846E9">
      <w:pPr>
        <w:pStyle w:val="a9"/>
        <w:jc w:val="both"/>
        <w:rPr>
          <w:sz w:val="18"/>
          <w:szCs w:val="18"/>
        </w:rPr>
      </w:pPr>
      <w:r>
        <w:rPr>
          <w:rStyle w:val="af5"/>
          <w:sz w:val="18"/>
          <w:szCs w:val="18"/>
        </w:rPr>
        <w:footnoteRef/>
      </w:r>
      <w:r>
        <w:rPr>
          <w:sz w:val="18"/>
          <w:szCs w:val="18"/>
        </w:rPr>
        <w:t xml:space="preserve"> Название условное. Здесь и далее наименование стороны указывается в соответствии с тем, как это изложено в преамбуле (Исполнитель, Лицензиар, Поставщик и т.п.).</w:t>
      </w:r>
    </w:p>
  </w:footnote>
  <w:footnote w:id="67">
    <w:p w:rsidR="000846E9" w:rsidRDefault="000846E9" w:rsidP="000846E9">
      <w:pPr>
        <w:pStyle w:val="a9"/>
        <w:jc w:val="both"/>
        <w:rPr>
          <w:sz w:val="18"/>
          <w:szCs w:val="18"/>
        </w:rPr>
      </w:pPr>
      <w:r>
        <w:rPr>
          <w:rStyle w:val="af5"/>
          <w:sz w:val="18"/>
          <w:szCs w:val="18"/>
        </w:rPr>
        <w:footnoteRef/>
      </w:r>
      <w:r>
        <w:rPr>
          <w:sz w:val="18"/>
          <w:szCs w:val="18"/>
        </w:rPr>
        <w:t xml:space="preserve"> Название условное. Здесь и далее наименование стороны указывается в соответствии с тем, как это изложено в преамбуле (Банк, Лицензиат, Заказчик и т.п.).</w:t>
      </w:r>
    </w:p>
  </w:footnote>
  <w:footnote w:id="68">
    <w:p w:rsidR="000846E9" w:rsidRDefault="000846E9" w:rsidP="000846E9">
      <w:pPr>
        <w:pStyle w:val="a9"/>
        <w:jc w:val="both"/>
        <w:rPr>
          <w:sz w:val="18"/>
          <w:szCs w:val="18"/>
        </w:rPr>
      </w:pPr>
      <w:r>
        <w:rPr>
          <w:rStyle w:val="af5"/>
          <w:sz w:val="18"/>
          <w:szCs w:val="18"/>
        </w:rPr>
        <w:footnoteRef/>
      </w:r>
      <w:r>
        <w:rPr>
          <w:sz w:val="18"/>
          <w:szCs w:val="18"/>
        </w:rPr>
        <w:t xml:space="preserve"> Если применимо к отношениям Сторон.</w:t>
      </w:r>
    </w:p>
  </w:footnote>
  <w:footnote w:id="69">
    <w:p w:rsidR="000846E9" w:rsidRDefault="000846E9" w:rsidP="000846E9">
      <w:pPr>
        <w:pStyle w:val="a9"/>
        <w:jc w:val="both"/>
        <w:rPr>
          <w:sz w:val="18"/>
          <w:szCs w:val="18"/>
        </w:rPr>
      </w:pPr>
      <w:r>
        <w:rPr>
          <w:rStyle w:val="af5"/>
          <w:sz w:val="18"/>
          <w:szCs w:val="18"/>
        </w:rPr>
        <w:footnoteRef/>
      </w:r>
      <w:r>
        <w:rPr>
          <w:sz w:val="18"/>
          <w:szCs w:val="18"/>
        </w:rPr>
        <w:t xml:space="preserve"> Если применимо к отношениям Сторон.</w:t>
      </w:r>
    </w:p>
  </w:footnote>
  <w:footnote w:id="70">
    <w:p w:rsidR="000846E9" w:rsidRDefault="000846E9" w:rsidP="000846E9">
      <w:pPr>
        <w:pStyle w:val="a9"/>
        <w:jc w:val="both"/>
        <w:rPr>
          <w:sz w:val="18"/>
          <w:szCs w:val="18"/>
        </w:rPr>
      </w:pPr>
      <w:r>
        <w:rPr>
          <w:rStyle w:val="af5"/>
          <w:sz w:val="18"/>
          <w:szCs w:val="18"/>
        </w:rPr>
        <w:footnoteRef/>
      </w:r>
      <w:r>
        <w:rPr>
          <w:sz w:val="18"/>
          <w:szCs w:val="18"/>
        </w:rPr>
        <w:t xml:space="preserve"> Указать пункт Договора, в котором содержатся сведения о сроке его действия.</w:t>
      </w:r>
    </w:p>
  </w:footnote>
  <w:footnote w:id="71">
    <w:p w:rsidR="006F6DF6" w:rsidRPr="001B6F8F" w:rsidRDefault="006F6DF6" w:rsidP="00B819BF">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6F6D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6F6D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F6" w:rsidRDefault="006F6D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F430A21"/>
    <w:multiLevelType w:val="multilevel"/>
    <w:tmpl w:val="69F67F58"/>
    <w:lvl w:ilvl="0">
      <w:start w:val="1"/>
      <w:numFmt w:val="decimal"/>
      <w:lvlText w:val="%1."/>
      <w:lvlJc w:val="left"/>
      <w:pPr>
        <w:ind w:left="540" w:hanging="540"/>
      </w:pPr>
      <w:rPr>
        <w:rFonts w:hint="default"/>
        <w:b w:val="0"/>
      </w:rPr>
    </w:lvl>
    <w:lvl w:ilvl="1">
      <w:start w:val="1"/>
      <w:numFmt w:val="decimal"/>
      <w:lvlText w:val="%1.%2."/>
      <w:lvlJc w:val="left"/>
      <w:pPr>
        <w:ind w:left="1108"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7"/>
  </w:num>
  <w:num w:numId="4">
    <w:abstractNumId w:val="0"/>
  </w:num>
  <w:num w:numId="5">
    <w:abstractNumId w:val="5"/>
  </w:num>
  <w:num w:numId="6">
    <w:abstractNumId w:val="9"/>
  </w:num>
  <w:num w:numId="7">
    <w:abstractNumId w:val="1"/>
  </w:num>
  <w:num w:numId="8">
    <w:abstractNumId w:val="11"/>
  </w:num>
  <w:num w:numId="9">
    <w:abstractNumId w:val="8"/>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77"/>
    <w:rsid w:val="00074339"/>
    <w:rsid w:val="000846E9"/>
    <w:rsid w:val="002B1464"/>
    <w:rsid w:val="004A0A76"/>
    <w:rsid w:val="00503155"/>
    <w:rsid w:val="005A1DE4"/>
    <w:rsid w:val="006F6DF6"/>
    <w:rsid w:val="00953FEA"/>
    <w:rsid w:val="00B40F1B"/>
    <w:rsid w:val="00B5139F"/>
    <w:rsid w:val="00B819BF"/>
    <w:rsid w:val="00B9098B"/>
    <w:rsid w:val="00CC7377"/>
    <w:rsid w:val="00CE1B25"/>
    <w:rsid w:val="00DB3288"/>
    <w:rsid w:val="00E33EEB"/>
    <w:rsid w:val="00E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DEB26"/>
  <w15:chartTrackingRefBased/>
  <w15:docId w15:val="{4C5B05A0-D087-494A-B332-C297978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19BF"/>
  </w:style>
  <w:style w:type="paragraph" w:styleId="10">
    <w:name w:val="heading 1"/>
    <w:basedOn w:val="a1"/>
    <w:next w:val="a1"/>
    <w:link w:val="11"/>
    <w:uiPriority w:val="9"/>
    <w:qFormat/>
    <w:rsid w:val="00B819B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B819B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B819B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819B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819BF"/>
  </w:style>
  <w:style w:type="paragraph" w:styleId="a7">
    <w:name w:val="footer"/>
    <w:basedOn w:val="a1"/>
    <w:link w:val="a8"/>
    <w:uiPriority w:val="99"/>
    <w:unhideWhenUsed/>
    <w:rsid w:val="00B819B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819BF"/>
  </w:style>
  <w:style w:type="character" w:customStyle="1" w:styleId="11">
    <w:name w:val="Заголовок 1 Знак"/>
    <w:basedOn w:val="a2"/>
    <w:link w:val="10"/>
    <w:uiPriority w:val="9"/>
    <w:rsid w:val="00B819B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B819B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B819B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B819B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B819B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B819B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B819B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B819B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B819B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B819B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B819B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B819B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B819B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B819B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B819B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B819B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B819B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B819B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B819BF"/>
    <w:rPr>
      <w:rFonts w:ascii="Times New Roman" w:hAnsi="Times New Roman" w:cs="Times New Roman" w:hint="default"/>
      <w:vertAlign w:val="superscript"/>
    </w:rPr>
  </w:style>
  <w:style w:type="character" w:customStyle="1" w:styleId="FontStyle36">
    <w:name w:val="Font Style36"/>
    <w:uiPriority w:val="99"/>
    <w:rsid w:val="00B819BF"/>
    <w:rPr>
      <w:rFonts w:ascii="Times New Roman" w:hAnsi="Times New Roman" w:cs="Times New Roman" w:hint="default"/>
      <w:sz w:val="20"/>
      <w:szCs w:val="20"/>
    </w:rPr>
  </w:style>
  <w:style w:type="paragraph" w:styleId="af6">
    <w:name w:val="Balloon Text"/>
    <w:basedOn w:val="a1"/>
    <w:link w:val="af7"/>
    <w:uiPriority w:val="99"/>
    <w:semiHidden/>
    <w:unhideWhenUsed/>
    <w:rsid w:val="00B819B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B819BF"/>
    <w:rPr>
      <w:rFonts w:ascii="Tahoma" w:eastAsia="Times New Roman" w:hAnsi="Tahoma" w:cs="Tahoma"/>
      <w:sz w:val="16"/>
      <w:szCs w:val="16"/>
      <w:lang w:eastAsia="ru-RU"/>
    </w:rPr>
  </w:style>
  <w:style w:type="paragraph" w:styleId="af8">
    <w:name w:val="endnote text"/>
    <w:basedOn w:val="a1"/>
    <w:link w:val="af9"/>
    <w:uiPriority w:val="99"/>
    <w:semiHidden/>
    <w:unhideWhenUsed/>
    <w:rsid w:val="00B819B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B819B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B819BF"/>
    <w:rPr>
      <w:vertAlign w:val="superscript"/>
    </w:rPr>
  </w:style>
  <w:style w:type="paragraph" w:styleId="20">
    <w:name w:val="Body Text Indent 2"/>
    <w:basedOn w:val="a1"/>
    <w:link w:val="21"/>
    <w:uiPriority w:val="99"/>
    <w:semiHidden/>
    <w:unhideWhenUsed/>
    <w:rsid w:val="00B819B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B819B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B819B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B819B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B819BF"/>
    <w:rPr>
      <w:sz w:val="16"/>
      <w:szCs w:val="16"/>
    </w:rPr>
  </w:style>
  <w:style w:type="paragraph" w:styleId="afc">
    <w:name w:val="annotation subject"/>
    <w:basedOn w:val="ab"/>
    <w:next w:val="ab"/>
    <w:link w:val="afd"/>
    <w:uiPriority w:val="99"/>
    <w:semiHidden/>
    <w:unhideWhenUsed/>
    <w:rsid w:val="00B819BF"/>
    <w:rPr>
      <w:b/>
      <w:bCs/>
      <w:lang w:val="ru-RU" w:eastAsia="ru-RU"/>
    </w:rPr>
  </w:style>
  <w:style w:type="character" w:customStyle="1" w:styleId="afd">
    <w:name w:val="Тема примечания Знак"/>
    <w:basedOn w:val="ac"/>
    <w:link w:val="afc"/>
    <w:uiPriority w:val="99"/>
    <w:semiHidden/>
    <w:rsid w:val="00B819B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B819B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B819B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B819BF"/>
    <w:rPr>
      <w:vanish w:val="0"/>
      <w:webHidden w:val="0"/>
      <w:specVanish w:val="0"/>
    </w:rPr>
  </w:style>
  <w:style w:type="character" w:styleId="aff">
    <w:name w:val="Hyperlink"/>
    <w:uiPriority w:val="99"/>
    <w:unhideWhenUsed/>
    <w:rsid w:val="00B819BF"/>
    <w:rPr>
      <w:color w:val="0000FF"/>
      <w:u w:val="single"/>
    </w:rPr>
  </w:style>
  <w:style w:type="paragraph" w:styleId="HTML">
    <w:name w:val="HTML Preformatted"/>
    <w:basedOn w:val="a1"/>
    <w:link w:val="HTML0"/>
    <w:uiPriority w:val="99"/>
    <w:unhideWhenUsed/>
    <w:rsid w:val="00B8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819B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B819B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B819B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B819B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B819BF"/>
    <w:rPr>
      <w:rFonts w:ascii="Times New Roman" w:eastAsia="Times New Roman" w:hAnsi="Times New Roman" w:cs="Times New Roman"/>
      <w:sz w:val="20"/>
      <w:szCs w:val="20"/>
      <w:lang w:eastAsia="ru-RU"/>
    </w:rPr>
  </w:style>
  <w:style w:type="character" w:customStyle="1" w:styleId="FontStyle16">
    <w:name w:val="Font Style16"/>
    <w:rsid w:val="00B819BF"/>
    <w:rPr>
      <w:rFonts w:ascii="Times New Roman" w:hAnsi="Times New Roman" w:cs="Times New Roman" w:hint="default"/>
    </w:rPr>
  </w:style>
  <w:style w:type="paragraph" w:customStyle="1" w:styleId="aff0">
    <w:name w:val="Îáû÷íûé"/>
    <w:basedOn w:val="a1"/>
    <w:rsid w:val="00B819BF"/>
    <w:pPr>
      <w:spacing w:after="0" w:line="240" w:lineRule="auto"/>
      <w:jc w:val="both"/>
    </w:pPr>
    <w:rPr>
      <w:rFonts w:ascii="Arial" w:hAnsi="Arial" w:cs="Arial"/>
      <w:sz w:val="24"/>
      <w:szCs w:val="24"/>
    </w:rPr>
  </w:style>
  <w:style w:type="table" w:styleId="aff1">
    <w:name w:val="Table Grid"/>
    <w:basedOn w:val="a3"/>
    <w:uiPriority w:val="59"/>
    <w:rsid w:val="00B819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B819B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819B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B819B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819B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819B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B819BF"/>
    <w:pPr>
      <w:spacing w:after="200" w:line="276" w:lineRule="auto"/>
      <w:ind w:left="283" w:hanging="283"/>
      <w:contextualSpacing/>
    </w:pPr>
  </w:style>
  <w:style w:type="table" w:customStyle="1" w:styleId="18">
    <w:name w:val="Сетка таблицы1"/>
    <w:basedOn w:val="a3"/>
    <w:next w:val="aff1"/>
    <w:uiPriority w:val="59"/>
    <w:rsid w:val="00B8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B8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B819B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B819BF"/>
    <w:pPr>
      <w:ind w:left="283" w:hanging="283"/>
      <w:contextualSpacing/>
    </w:pPr>
  </w:style>
  <w:style w:type="character" w:styleId="aff4">
    <w:name w:val="Subtle Emphasis"/>
    <w:basedOn w:val="a2"/>
    <w:uiPriority w:val="19"/>
    <w:qFormat/>
    <w:rsid w:val="00B819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15641868E52B4188486D8F1FDD0FCF9.dms.sberbank.ru/915641868E52B4188486D8F1FDD0FCF9-F72786AA52EF70B45D5FC70EE3BDAC63-3814153D0A3161C28E912754B6197B6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23</Pages>
  <Words>5865</Words>
  <Characters>44112</Characters>
  <Application>Microsoft Office Word</Application>
  <DocSecurity>0</DocSecurity>
  <Lines>1161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Александра Станиславовна</dc:creator>
  <cp:keywords/>
  <dc:description/>
  <cp:lastModifiedBy>Романова Александра Станиславовна</cp:lastModifiedBy>
  <cp:revision>9</cp:revision>
  <dcterms:created xsi:type="dcterms:W3CDTF">2022-05-12T11:24:00Z</dcterms:created>
  <dcterms:modified xsi:type="dcterms:W3CDTF">2022-05-13T08:47:00Z</dcterms:modified>
</cp:coreProperties>
</file>