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6CFA" w14:textId="77777777" w:rsidR="00511D78" w:rsidRDefault="00511D78" w:rsidP="00335586">
      <w:pPr>
        <w:spacing w:after="0" w:line="240" w:lineRule="auto"/>
      </w:pPr>
      <w:r>
        <w:separator/>
      </w:r>
    </w:p>
  </w:endnote>
  <w:endnote w:type="continuationSeparator" w:id="0">
    <w:p w14:paraId="0243CD3A" w14:textId="77777777" w:rsidR="00511D78" w:rsidRDefault="00511D78"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9B4EF47"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244293">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581A2CB" w:rsidR="00EB5BCE" w:rsidRPr="00993A3A" w:rsidRDefault="00511D7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44293">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5985" w14:textId="77777777" w:rsidR="00511D78" w:rsidRDefault="00511D78" w:rsidP="00335586">
      <w:pPr>
        <w:spacing w:after="0" w:line="240" w:lineRule="auto"/>
      </w:pPr>
      <w:r>
        <w:separator/>
      </w:r>
    </w:p>
  </w:footnote>
  <w:footnote w:type="continuationSeparator" w:id="0">
    <w:p w14:paraId="16659977" w14:textId="77777777" w:rsidR="00511D78" w:rsidRDefault="00511D78"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4293"/>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1D78"/>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E046-8F78-4D7F-96B8-22F002FD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15501</Words>
  <Characters>111453</Characters>
  <Application>Microsoft Office Word</Application>
  <DocSecurity>8</DocSecurity>
  <Lines>3184</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Волкова Мария Александровна</cp:lastModifiedBy>
  <cp:revision>3</cp:revision>
  <cp:lastPrinted>2020-01-15T07:39:00Z</cp:lastPrinted>
  <dcterms:created xsi:type="dcterms:W3CDTF">2021-07-01T07:52:00Z</dcterms:created>
  <dcterms:modified xsi:type="dcterms:W3CDTF">2021-07-01T07:52:00Z</dcterms:modified>
</cp:coreProperties>
</file>