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9B5EB08" w:rsidR="001D7929" w:rsidRPr="00224F8A" w:rsidRDefault="00BA4C0A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(Банк «ТРАСТ» (ПАО) 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2DA30A71" w:rsidR="00B83979" w:rsidRPr="008509DF" w:rsidRDefault="00B951BA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51BA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B951BA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именуемое в дальнейшем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B951BA">
        <w:rPr>
          <w:rFonts w:ascii="Verdana" w:eastAsia="Times New Roman" w:hAnsi="Verdana" w:cs="Times New Roman"/>
          <w:sz w:val="20"/>
          <w:szCs w:val="20"/>
          <w:lang w:eastAsia="ru-RU"/>
        </w:rPr>
        <w:t>в лице Ивановой Наталии Александровны, действующей на основании доверенности № 92/2021 от 06 июля 2021 года, удостоверенной нотариусом гор. Москвы Красновым Германом Евгеньевичем, зарегистрировано в реестре № 77/287-Н/77-2021-17-802,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6DCEFB7" w14:textId="77777777" w:rsidR="006E76AB" w:rsidRPr="00224F8A" w:rsidRDefault="00AF721D" w:rsidP="006E76AB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6E76AB"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6E76AB" w:rsidRPr="00224F8A" w14:paraId="25FD59F6" w14:textId="77777777" w:rsidTr="00836C33">
        <w:tc>
          <w:tcPr>
            <w:tcW w:w="6969" w:type="dxa"/>
          </w:tcPr>
          <w:p w14:paraId="44E5265B" w14:textId="77777777" w:rsidR="006E76AB" w:rsidRPr="00224F8A" w:rsidRDefault="006E76AB" w:rsidP="00836C33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6E76AB" w:rsidRPr="00487B5E" w14:paraId="1EE34D7C" w14:textId="77777777" w:rsidTr="00836C33">
        <w:trPr>
          <w:trHeight w:val="224"/>
        </w:trPr>
        <w:tc>
          <w:tcPr>
            <w:tcW w:w="6969" w:type="dxa"/>
          </w:tcPr>
          <w:p w14:paraId="0370F13C" w14:textId="77777777" w:rsidR="006E76AB" w:rsidRPr="00487B5E" w:rsidRDefault="006E76AB" w:rsidP="00836C33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487B5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11205ADA" w14:textId="77777777" w:rsidR="006E76AB" w:rsidRPr="008509DF" w:rsidRDefault="006E76AB" w:rsidP="006E76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7B5E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0F75FD5" w14:textId="7CE8F1C8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6387204" w:rsidR="00AF721D" w:rsidRPr="00267BF6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267BF6">
        <w:rPr>
          <w:rFonts w:ascii="Verdana" w:hAnsi="Verdana" w:cs="Times New Roman"/>
          <w:color w:val="000000" w:themeColor="text1"/>
        </w:rPr>
        <w:t xml:space="preserve">По </w:t>
      </w:r>
      <w:r w:rsidR="00CB783A" w:rsidRPr="00267BF6">
        <w:rPr>
          <w:rFonts w:ascii="Verdana" w:hAnsi="Verdana" w:cs="Times New Roman"/>
          <w:color w:val="000000" w:themeColor="text1"/>
        </w:rPr>
        <w:t>Договору</w:t>
      </w:r>
      <w:r w:rsidRPr="00267BF6">
        <w:rPr>
          <w:rFonts w:ascii="Verdana" w:hAnsi="Verdana" w:cs="Times New Roman"/>
          <w:color w:val="000000" w:themeColor="text1"/>
        </w:rPr>
        <w:t xml:space="preserve"> </w:t>
      </w:r>
      <w:r w:rsidR="00171986" w:rsidRPr="00267BF6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67BF6">
        <w:rPr>
          <w:rFonts w:ascii="Verdana" w:hAnsi="Verdana" w:cs="Times New Roman"/>
          <w:color w:val="000000" w:themeColor="text1"/>
        </w:rPr>
        <w:t>я</w:t>
      </w:r>
      <w:r w:rsidR="00171986" w:rsidRPr="00267BF6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67BF6">
        <w:rPr>
          <w:rFonts w:ascii="Verdana" w:hAnsi="Verdana" w:cs="Times New Roman"/>
        </w:rPr>
        <w:t>обязуется принять и оплатить</w:t>
      </w:r>
      <w:r w:rsidR="00325CC0" w:rsidRPr="00267BF6">
        <w:rPr>
          <w:rFonts w:ascii="Verdana" w:hAnsi="Verdana" w:cs="Times New Roman"/>
        </w:rPr>
        <w:t>:</w:t>
      </w:r>
      <w:r w:rsidR="00171986" w:rsidRPr="00267BF6">
        <w:rPr>
          <w:rFonts w:ascii="Verdana" w:hAnsi="Verdana" w:cs="Times New Roman"/>
        </w:rPr>
        <w:t xml:space="preserve">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267BF6" w14:paraId="389E18F5" w14:textId="77777777" w:rsidTr="00836C33">
        <w:tc>
          <w:tcPr>
            <w:tcW w:w="9634" w:type="dxa"/>
            <w:vAlign w:val="center"/>
          </w:tcPr>
          <w:p w14:paraId="727ED919" w14:textId="0D62F04A" w:rsidR="00325CC0" w:rsidRPr="001D2ACF" w:rsidRDefault="00325CC0" w:rsidP="001D2ACF">
            <w:pPr>
              <w:jc w:val="both"/>
              <w:rPr>
                <w:rFonts w:ascii="Verdana" w:hAnsi="Verdana"/>
              </w:rPr>
            </w:pPr>
          </w:p>
          <w:p w14:paraId="7222B59C" w14:textId="4A5227D5" w:rsidR="00267BF6" w:rsidRPr="00267BF6" w:rsidRDefault="00A9783A" w:rsidP="00A9783A">
            <w:pPr>
              <w:pStyle w:val="ConsNormal"/>
              <w:widowControl/>
              <w:numPr>
                <w:ilvl w:val="0"/>
                <w:numId w:val="34"/>
              </w:numPr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</w:rPr>
            </w:pPr>
            <w:r w:rsidRPr="00A9783A">
              <w:rPr>
                <w:rFonts w:ascii="Verdana" w:hAnsi="Verdana" w:cs="Times New Roman"/>
              </w:rPr>
              <w:t xml:space="preserve">21 </w:t>
            </w:r>
            <w:r w:rsidR="0012088E" w:rsidRPr="00A9783A">
              <w:rPr>
                <w:rFonts w:ascii="Verdana" w:hAnsi="Verdana" w:cs="Times New Roman"/>
              </w:rPr>
              <w:t>Земельный участок,</w:t>
            </w:r>
            <w:r>
              <w:rPr>
                <w:rFonts w:ascii="Verdana" w:hAnsi="Verdana" w:cs="Times New Roman"/>
              </w:rPr>
              <w:t xml:space="preserve"> в соответствии с Приложением № 2 к настоящему Договору купли-продажи. </w:t>
            </w:r>
            <w:r w:rsidR="00267BF6" w:rsidRPr="00267BF6">
              <w:rPr>
                <w:rFonts w:ascii="Verdana" w:hAnsi="Verdana" w:cs="Times New Roman"/>
              </w:rPr>
              <w:t>(далее именуемое – «недвижимое имущество»).</w:t>
            </w:r>
            <w:r w:rsidR="00AE41D9">
              <w:rPr>
                <w:rFonts w:ascii="Verdana" w:hAnsi="Verdana" w:cs="Times New Roman"/>
                <w:lang w:val="en-US"/>
              </w:rPr>
              <w:t xml:space="preserve"> </w:t>
            </w:r>
          </w:p>
        </w:tc>
      </w:tr>
      <w:tr w:rsidR="00515F5D" w:rsidRPr="00645BF6" w14:paraId="6C644CC2" w14:textId="77777777" w:rsidTr="00950FF3">
        <w:trPr>
          <w:trHeight w:val="224"/>
        </w:trPr>
        <w:tc>
          <w:tcPr>
            <w:tcW w:w="9634" w:type="dxa"/>
          </w:tcPr>
          <w:p w14:paraId="11E0503F" w14:textId="77777777" w:rsidR="00515F5D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8375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</w:r>
          </w:p>
          <w:p w14:paraId="24304F70" w14:textId="7ACC7CE5" w:rsidR="00515F5D" w:rsidRPr="00645BF6" w:rsidRDefault="00515F5D" w:rsidP="00515F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0F8F7C5" w14:textId="75FB8531" w:rsidR="00797DE8" w:rsidRDefault="00797DE8" w:rsidP="00797DE8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Verdana" w:hAnsi="Verdana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267BF6" w14:paraId="2501F8FC" w14:textId="77777777" w:rsidTr="00950FF3">
        <w:tc>
          <w:tcPr>
            <w:tcW w:w="9634" w:type="dxa"/>
          </w:tcPr>
          <w:tbl>
            <w:tblPr>
              <w:tblW w:w="957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303"/>
            </w:tblGrid>
            <w:tr w:rsidR="00267BF6" w:rsidRPr="004C1672" w14:paraId="4FF6A1DB" w14:textId="77777777" w:rsidTr="00836C33">
              <w:tc>
                <w:tcPr>
                  <w:tcW w:w="2268" w:type="dxa"/>
                  <w:shd w:val="clear" w:color="auto" w:fill="auto"/>
                </w:tcPr>
                <w:p w14:paraId="4E6B1743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</w:p>
                <w:p w14:paraId="7D6839C8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нежилого здания/</w:t>
                  </w:r>
                </w:p>
                <w:p w14:paraId="227DA2B2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сооружения/ОНС</w:t>
                  </w:r>
                  <w:r w:rsidRPr="004C1672" w:rsidDel="000B32D0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с земельным </w:t>
                  </w:r>
                  <w:r w:rsidRPr="004C1672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lastRenderedPageBreak/>
                    <w:t>участком на праве собственности</w:t>
                  </w:r>
                </w:p>
                <w:p w14:paraId="48D75603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</w:p>
                <w:p w14:paraId="080B98A5" w14:textId="77777777" w:rsidR="00267BF6" w:rsidRPr="004C1672" w:rsidRDefault="00267BF6" w:rsidP="00267BF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03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77"/>
                  </w:tblGrid>
                  <w:tr w:rsidR="00267BF6" w:rsidRPr="004C1672" w14:paraId="08A8375C" w14:textId="77777777" w:rsidTr="00836C33">
                    <w:tc>
                      <w:tcPr>
                        <w:tcW w:w="7077" w:type="dxa"/>
                      </w:tcPr>
                      <w:p w14:paraId="23574DEC" w14:textId="32B46541" w:rsidR="000D6356" w:rsidRPr="003B25F0" w:rsidRDefault="000D6356" w:rsidP="003B25F0">
                        <w:pPr>
                          <w:pStyle w:val="a5"/>
                          <w:numPr>
                            <w:ilvl w:val="1"/>
                            <w:numId w:val="2"/>
                          </w:numPr>
                          <w:jc w:val="both"/>
                          <w:rPr>
                            <w:rFonts w:ascii="Verdana" w:hAnsi="Verdana"/>
                            <w:color w:val="000000" w:themeColor="text1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</w:rPr>
                          <w:lastRenderedPageBreak/>
                          <w:t>Недвижимое имущество:</w:t>
                        </w:r>
                      </w:p>
                      <w:p w14:paraId="18A6CF28" w14:textId="77777777" w:rsidR="00072D4D" w:rsidRDefault="00B35B3F" w:rsidP="00072D4D">
                        <w:pPr>
                          <w:numPr>
                            <w:ilvl w:val="0"/>
                            <w:numId w:val="34"/>
                          </w:numPr>
                          <w:jc w:val="both"/>
                          <w:rPr>
                            <w:rFonts w:ascii="Verdana" w:hAnsi="Verdana"/>
                            <w:color w:val="000000" w:themeColor="text1"/>
                          </w:rPr>
                        </w:pPr>
                        <w:r>
                          <w:rPr>
                            <w:rFonts w:ascii="Verdana" w:hAnsi="Verdana"/>
                            <w:color w:val="000000" w:themeColor="text1"/>
                          </w:rPr>
                          <w:t>Недвижимое имущество</w:t>
                        </w:r>
                        <w:r w:rsidR="0012088E">
                          <w:rPr>
                            <w:rFonts w:ascii="Verdana" w:hAnsi="Verdana"/>
                            <w:color w:val="000000" w:themeColor="text1"/>
                          </w:rPr>
                          <w:t xml:space="preserve"> </w:t>
                        </w:r>
                        <w:r w:rsidR="004D3699" w:rsidRPr="0012088E">
                          <w:rPr>
                            <w:rFonts w:ascii="Verdana" w:hAnsi="Verdana"/>
                            <w:color w:val="000000" w:themeColor="text1"/>
                          </w:rPr>
                          <w:t xml:space="preserve">принадлежит Продавцу на праве собственности на основании: </w:t>
                        </w:r>
                        <w:r w:rsidR="00A9783A" w:rsidRPr="00A9783A">
                          <w:rPr>
                            <w:rFonts w:ascii="Verdana" w:hAnsi="Verdana"/>
                            <w:color w:val="000000" w:themeColor="text1"/>
                          </w:rPr>
                          <w:t>Договор</w:t>
                        </w:r>
                        <w:r w:rsidR="00A9783A">
                          <w:rPr>
                            <w:rFonts w:ascii="Verdana" w:hAnsi="Verdana"/>
                            <w:color w:val="000000" w:themeColor="text1"/>
                          </w:rPr>
                          <w:t>а</w:t>
                        </w:r>
                        <w:r w:rsidR="00A9783A" w:rsidRPr="00A9783A">
                          <w:rPr>
                            <w:rFonts w:ascii="Verdana" w:hAnsi="Verdana"/>
                            <w:color w:val="000000" w:themeColor="text1"/>
                          </w:rPr>
                          <w:t xml:space="preserve"> купли-продажи земельного участка от 02.05.2012</w:t>
                        </w:r>
                        <w:r w:rsidR="00A9783A">
                          <w:rPr>
                            <w:rFonts w:ascii="Verdana" w:hAnsi="Verdana"/>
                            <w:color w:val="000000" w:themeColor="text1"/>
                          </w:rPr>
                          <w:t xml:space="preserve"> и </w:t>
                        </w:r>
                        <w:r w:rsidR="00A9783A" w:rsidRPr="00A9783A">
                          <w:rPr>
                            <w:rFonts w:ascii="Verdana" w:hAnsi="Verdana"/>
                            <w:color w:val="000000" w:themeColor="text1"/>
                          </w:rPr>
                          <w:lastRenderedPageBreak/>
                          <w:t>Договор</w:t>
                        </w:r>
                        <w:r w:rsidR="00A9783A">
                          <w:rPr>
                            <w:rFonts w:ascii="Verdana" w:hAnsi="Verdana"/>
                            <w:color w:val="000000" w:themeColor="text1"/>
                          </w:rPr>
                          <w:t>а</w:t>
                        </w:r>
                        <w:r w:rsidR="00A9783A" w:rsidRPr="00A9783A">
                          <w:rPr>
                            <w:rFonts w:ascii="Verdana" w:hAnsi="Verdana"/>
                            <w:color w:val="000000" w:themeColor="text1"/>
                          </w:rPr>
                          <w:t xml:space="preserve"> купли-продажи земельных участков от 01.04.2013</w:t>
                        </w:r>
                        <w:r w:rsidR="004D3699" w:rsidRPr="00257B35">
                          <w:rPr>
                            <w:rFonts w:ascii="Verdana" w:hAnsi="Verdana"/>
                            <w:color w:val="000000" w:themeColor="text1"/>
                          </w:rPr>
                          <w:t>, о чем в Едином государственном реестре недвижимости сделана запись о регистрации</w:t>
                        </w:r>
                        <w:r w:rsidR="00072D4D">
                          <w:rPr>
                            <w:rFonts w:ascii="Verdana" w:hAnsi="Verdana"/>
                            <w:color w:val="000000" w:themeColor="text1"/>
                          </w:rPr>
                          <w:t>:</w:t>
                        </w:r>
                      </w:p>
                      <w:p w14:paraId="63AB3D61" w14:textId="77777777" w:rsidR="00267BF6" w:rsidRDefault="00072D4D" w:rsidP="00072D4D">
                        <w:pPr>
                          <w:numPr>
                            <w:ilvl w:val="0"/>
                            <w:numId w:val="34"/>
                          </w:numPr>
                          <w:jc w:val="both"/>
                          <w:rPr>
                            <w:rFonts w:ascii="Verdana" w:hAnsi="Verdana"/>
                            <w:color w:val="000000" w:themeColor="text1"/>
                          </w:rPr>
                        </w:pPr>
                        <w:r w:rsidRPr="00072D4D">
                          <w:rPr>
                            <w:rFonts w:ascii="Verdana" w:hAnsi="Verdana"/>
                            <w:color w:val="000000" w:themeColor="text1"/>
                          </w:rPr>
                          <w:t>13.09.2013</w:t>
                        </w:r>
                        <w:r w:rsidR="00EE56F1" w:rsidRPr="00072D4D">
                          <w:rPr>
                            <w:rFonts w:ascii="Verdana" w:hAnsi="Verdana"/>
                            <w:color w:val="000000" w:themeColor="text1"/>
                          </w:rPr>
                          <w:t xml:space="preserve"> № </w:t>
                        </w:r>
                        <w:r>
                          <w:rPr>
                            <w:rFonts w:ascii="Verdana" w:hAnsi="Verdana"/>
                            <w:color w:val="000000" w:themeColor="text1"/>
                          </w:rPr>
                          <w:t>33-33-30/013/2013-014</w:t>
                        </w:r>
                        <w:r w:rsidR="004D3699" w:rsidRPr="00257B35">
                          <w:rPr>
                            <w:rFonts w:ascii="Verdana" w:hAnsi="Verdana"/>
                            <w:color w:val="000000" w:themeColor="text1"/>
                          </w:rPr>
                          <w:t>, что подтверждается Выпиской из Единого государственно</w:t>
                        </w:r>
                        <w:r w:rsidR="00257B35">
                          <w:rPr>
                            <w:rFonts w:ascii="Verdana" w:hAnsi="Verdana"/>
                            <w:color w:val="000000" w:themeColor="text1"/>
                          </w:rPr>
                          <w:t xml:space="preserve">го реестра недвижимости от </w:t>
                        </w:r>
                        <w:r>
                          <w:rPr>
                            <w:rFonts w:ascii="Verdana" w:hAnsi="Verdana"/>
                            <w:color w:val="000000" w:themeColor="text1"/>
                          </w:rPr>
                          <w:t>07.12.2021;</w:t>
                        </w:r>
                      </w:p>
                      <w:p w14:paraId="0E2D5939" w14:textId="77F14FD2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28.05.2012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15/010/2012-576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нного реестра недвижимости от 08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1C5EA882" w14:textId="7CE86B65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30/013/2013-015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08.12.2021;</w:t>
                        </w:r>
                      </w:p>
                      <w:p w14:paraId="61084F8E" w14:textId="65F6251B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30/013/2013-018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08.12.2021;</w:t>
                        </w:r>
                      </w:p>
                      <w:p w14:paraId="39902A0A" w14:textId="0C1694FC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30/013/2013-023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08.12.2021;</w:t>
                        </w:r>
                      </w:p>
                      <w:p w14:paraId="0D28FF19" w14:textId="651499E0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30/013/2013-026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08.12.2021;</w:t>
                        </w:r>
                      </w:p>
                      <w:p w14:paraId="7D547432" w14:textId="4B6CC9D1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33-33-15/010/2012-576, что подтверждается Выпиской из Единого государственного реестра недвижимости от 08.12.2021;</w:t>
                        </w:r>
                      </w:p>
                      <w:p w14:paraId="2E4178A7" w14:textId="26A9EB89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30/013/2013-027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08.12.2021;</w:t>
                        </w:r>
                      </w:p>
                      <w:p w14:paraId="4ABF093D" w14:textId="7ED702C5" w:rsidR="00072D4D" w:rsidRPr="00072D4D" w:rsidRDefault="00072D4D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28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.05.2012 № 33-33-15/010/2012-579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10</w:t>
                        </w:r>
                        <w:r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404C0FA1" w14:textId="406A7D73" w:rsidR="00072D4D" w:rsidRPr="00072D4D" w:rsidRDefault="009217B4" w:rsidP="00072D4D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</w:t>
                        </w:r>
                        <w:r w:rsidR="00072D4D"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.201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</w:t>
                        </w:r>
                        <w:r w:rsidR="00072D4D"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30/013/2013-017</w:t>
                        </w:r>
                        <w:r w:rsidR="00072D4D" w:rsidRPr="00072D4D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08.12.2021;</w:t>
                        </w:r>
                      </w:p>
                      <w:p w14:paraId="79E7B716" w14:textId="48D6BE22" w:rsid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30/013/2013-019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11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54D2D4A4" w14:textId="063AA34A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28.05.2012 № 33-33-15/010/2012-57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5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11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5314B0A3" w14:textId="789DE203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28.05.2012 № 33-33-15/010/2012-5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82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10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0FCEC97A" w14:textId="67727E65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lastRenderedPageBreak/>
                          <w:t>13.09.2013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30/013/2013-025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29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6636C370" w14:textId="3523BB06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30/013/2013-016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10.12.2021;</w:t>
                        </w:r>
                      </w:p>
                      <w:p w14:paraId="3565DFA8" w14:textId="3FA9C64B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30/013/2013-021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08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15CB8FEA" w14:textId="6A5D2817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30/013/2013-024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08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2F193DBC" w14:textId="6218EBEF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13.09.2013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 № 33-33-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30/013/2013-028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08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309E1476" w14:textId="2B1FFEDF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28.05.2012 № 33-33-15/010/2012-5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77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08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1928D956" w14:textId="2C5716C8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28.05.2012 № 33-33-15/010/2012-5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78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08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111D82A7" w14:textId="5847193E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29.05.2012 № 33-33-15/010/2012-580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 xml:space="preserve">, что подтверждается Выпиской из Единого государственного реестра недвижимости от 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08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.12.2021;</w:t>
                        </w:r>
                      </w:p>
                      <w:p w14:paraId="00C4EF7F" w14:textId="025560C9" w:rsidR="009217B4" w:rsidRPr="009217B4" w:rsidRDefault="009217B4" w:rsidP="009217B4">
                        <w:pPr>
                          <w:pStyle w:val="a5"/>
                          <w:numPr>
                            <w:ilvl w:val="0"/>
                            <w:numId w:val="34"/>
                          </w:numP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</w:pP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28</w:t>
                        </w:r>
                        <w:r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.05.2012 № 33-33-15/010/2012-584</w:t>
                        </w:r>
                        <w:r w:rsidRPr="009217B4">
                          <w:rPr>
                            <w:rFonts w:ascii="Verdana" w:eastAsiaTheme="minorHAnsi" w:hAnsi="Verdana" w:cstheme="minorBidi"/>
                            <w:color w:val="000000" w:themeColor="text1"/>
                            <w:sz w:val="22"/>
                            <w:szCs w:val="22"/>
                            <w:lang w:eastAsia="en-US"/>
                          </w:rPr>
                          <w:t>, что подтверждается Выпиской из Единого государственного реестра недвижимости от 10.12.2021;</w:t>
                        </w:r>
                      </w:p>
                      <w:p w14:paraId="4E5E09BB" w14:textId="16970E21" w:rsidR="00072D4D" w:rsidRPr="009217B4" w:rsidRDefault="00072D4D" w:rsidP="009217B4">
                        <w:pPr>
                          <w:ind w:left="360"/>
                          <w:rPr>
                            <w:rFonts w:ascii="Verdana" w:hAnsi="Verdana"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275055C1" w14:textId="72BFD0CC" w:rsidR="00267BF6" w:rsidRPr="004C1672" w:rsidRDefault="00267BF6" w:rsidP="00267BF6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B632150" w14:textId="1932D6E7" w:rsidR="00267BF6" w:rsidRDefault="00267BF6" w:rsidP="00267BF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67BF6" w:rsidRPr="00224F8A" w14:paraId="067116AE" w14:textId="77777777" w:rsidTr="00950FF3">
        <w:tc>
          <w:tcPr>
            <w:tcW w:w="9634" w:type="dxa"/>
          </w:tcPr>
          <w:p w14:paraId="57B99AB6" w14:textId="43AC391B" w:rsidR="00267BF6" w:rsidRPr="00224F8A" w:rsidRDefault="00267BF6" w:rsidP="00267BF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1C5402" w14:textId="4CD79EEF" w:rsidR="00D911F0" w:rsidRPr="008509DF" w:rsidRDefault="00D911F0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lastRenderedPageBreak/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9E4C459" w14:textId="77777777" w:rsidR="00836C33" w:rsidRPr="00836C33" w:rsidRDefault="00836C33" w:rsidP="00836C33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836C33">
        <w:rPr>
          <w:rFonts w:ascii="Verdana" w:hAnsi="Verdana"/>
          <w:sz w:val="20"/>
          <w:szCs w:val="20"/>
        </w:rPr>
        <w:lastRenderedPageBreak/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2598A378" w14:textId="1719C8A8" w:rsidR="00761DF7" w:rsidRDefault="00836C33" w:rsidP="00836C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 w:rsidRPr="00836C33">
        <w:rPr>
          <w:rFonts w:ascii="Verdana" w:eastAsiaTheme="minorHAnsi" w:hAnsi="Verdana" w:cstheme="minorBidi"/>
          <w:lang w:eastAsia="en-US"/>
        </w:rPr>
        <w:t>На дату подписания Договора недвижимое имущество</w:t>
      </w:r>
      <w:r w:rsidRPr="00836C3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Pr="00836C33">
        <w:rPr>
          <w:rFonts w:ascii="Verdana" w:eastAsiaTheme="minorHAnsi" w:hAnsi="Verdana" w:cstheme="minorBidi"/>
          <w:lang w:eastAsia="en-US"/>
        </w:rPr>
        <w:t xml:space="preserve">не обременено правами </w:t>
      </w:r>
      <w:r>
        <w:rPr>
          <w:rFonts w:ascii="Verdana" w:eastAsiaTheme="minorHAnsi" w:hAnsi="Verdana" w:cstheme="minorBidi"/>
          <w:lang w:eastAsia="en-US"/>
        </w:rPr>
        <w:t xml:space="preserve">третьих лиц, кроме </w:t>
      </w:r>
      <w:r>
        <w:rPr>
          <w:rFonts w:ascii="Verdana" w:hAnsi="Verdana" w:cs="Times New Roman"/>
          <w:color w:val="000000" w:themeColor="text1"/>
        </w:rPr>
        <w:t>перечисленных</w:t>
      </w:r>
      <w:r w:rsidRPr="00836C33">
        <w:rPr>
          <w:rFonts w:ascii="Verdana" w:hAnsi="Verdana" w:cs="Times New Roman"/>
          <w:color w:val="000000" w:themeColor="text1"/>
        </w:rPr>
        <w:t xml:space="preserve"> в Приложении №</w:t>
      </w:r>
      <w:r w:rsidRPr="00836C33">
        <w:rPr>
          <w:rFonts w:ascii="Verdana" w:hAnsi="Verdana" w:cs="Times New Roman"/>
        </w:rPr>
        <w:t>2</w:t>
      </w:r>
      <w:r>
        <w:rPr>
          <w:rFonts w:ascii="Verdana" w:hAnsi="Verdana" w:cs="Times New Roman"/>
          <w:color w:val="0070C0"/>
        </w:rPr>
        <w:t xml:space="preserve"> </w:t>
      </w:r>
      <w:r w:rsidRPr="00836C33">
        <w:rPr>
          <w:rFonts w:ascii="Verdana" w:hAnsi="Verdana" w:cs="Times New Roman"/>
          <w:color w:val="000000" w:themeColor="text1"/>
        </w:rPr>
        <w:t>к Договору.</w:t>
      </w:r>
      <w:r>
        <w:rPr>
          <w:rFonts w:ascii="Verdana" w:hAnsi="Verdana" w:cs="Times New Roman"/>
          <w:color w:val="000000" w:themeColor="text1"/>
        </w:rPr>
        <w:t xml:space="preserve"> </w:t>
      </w:r>
    </w:p>
    <w:p w14:paraId="4F421EE0" w14:textId="19BDB356" w:rsidR="00836C33" w:rsidRPr="00836C33" w:rsidRDefault="00836C33" w:rsidP="00836C33">
      <w:pPr>
        <w:pStyle w:val="Default"/>
        <w:jc w:val="both"/>
        <w:rPr>
          <w:sz w:val="20"/>
          <w:szCs w:val="20"/>
        </w:rPr>
      </w:pPr>
      <w:r w:rsidRPr="00836C33">
        <w:rPr>
          <w:rFonts w:cs="Times New Roman"/>
          <w:color w:val="000000" w:themeColor="text1"/>
          <w:sz w:val="20"/>
          <w:szCs w:val="20"/>
        </w:rPr>
        <w:t>К</w:t>
      </w:r>
      <w:r>
        <w:rPr>
          <w:rFonts w:cs="Times New Roman"/>
          <w:color w:val="000000" w:themeColor="text1"/>
          <w:sz w:val="20"/>
          <w:szCs w:val="20"/>
        </w:rPr>
        <w:t xml:space="preserve">роме этого, </w:t>
      </w:r>
      <w:r w:rsidRPr="00836C33">
        <w:rPr>
          <w:sz w:val="20"/>
          <w:szCs w:val="20"/>
        </w:rPr>
        <w:t xml:space="preserve">в пределах земельного участка </w:t>
      </w:r>
      <w:r>
        <w:rPr>
          <w:sz w:val="20"/>
          <w:szCs w:val="20"/>
        </w:rPr>
        <w:t xml:space="preserve">с </w:t>
      </w:r>
      <w:r w:rsidRPr="00836C33">
        <w:rPr>
          <w:sz w:val="20"/>
          <w:szCs w:val="20"/>
        </w:rPr>
        <w:t xml:space="preserve">КН 33:12:011101:291, 33:12:011101:375, 33:12:011101:460, 33:12:011101:457, 33:12:011101:282 расположен объект недвижимости: КН 33:12:011101:291, 33:12:011101:375, 33:12:011101:460, 33:12:011101:457, 33:12:011101:282 без оформления договорных отношений и установления сервитута. </w:t>
      </w:r>
    </w:p>
    <w:p w14:paraId="53338309" w14:textId="3EA83EE4" w:rsidR="00836C33" w:rsidRDefault="00836C33" w:rsidP="00836C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29FCE348" w:rsidR="00BD2793" w:rsidRDefault="00267BF6" w:rsidP="0021252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710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>за исключением тех,</w:t>
      </w:r>
      <w:r w:rsidR="00212528">
        <w:rPr>
          <w:rFonts w:ascii="Verdana" w:hAnsi="Verdana" w:cs="Times New Roman"/>
          <w:b/>
          <w:bCs/>
        </w:rPr>
        <w:t xml:space="preserve"> о которых ему сообщил Продавец.</w:t>
      </w:r>
      <w:r w:rsidRPr="00267BF6">
        <w:rPr>
          <w:rFonts w:ascii="Verdana" w:hAnsi="Verdana" w:cs="Times New Roman"/>
          <w:b/>
          <w:bCs/>
        </w:rPr>
        <w:t xml:space="preserve"> </w:t>
      </w:r>
      <w:r w:rsidRPr="00212528">
        <w:rPr>
          <w:rFonts w:ascii="Verdana" w:hAnsi="Verdana" w:cs="Times New Roman"/>
        </w:rPr>
        <w:t xml:space="preserve">Покупатель </w:t>
      </w:r>
      <w:r w:rsidR="00212528" w:rsidRPr="00212528">
        <w:rPr>
          <w:rFonts w:ascii="Verdana" w:hAnsi="Verdana" w:cs="Times New Roman"/>
        </w:rPr>
        <w:t>уведомлен</w:t>
      </w:r>
      <w:r w:rsidR="00212528">
        <w:rPr>
          <w:rFonts w:ascii="Verdana" w:hAnsi="Verdana" w:cs="Times New Roman"/>
        </w:rPr>
        <w:t xml:space="preserve">, что </w:t>
      </w:r>
      <w:r w:rsidR="00212528" w:rsidRPr="00212528">
        <w:rPr>
          <w:rFonts w:ascii="Verdana" w:hAnsi="Verdana" w:cs="Times New Roman"/>
        </w:rPr>
        <w:t>права и обязанности сторон по договору возникают только при условии, что Администрация Владимирской области и/или муниципальное образование откажутся от преимущественного права покупки Недвижимого имущества (или его части) либо в случае не уведомления Продавца Администрацией Владимирской области и муниципальным образованием в письменной форме о намерении приобрести Недвижимое имущество в течение тридцати дней со дня поступления извещения Продавца о продаже Недвижимого имущества</w:t>
      </w:r>
      <w:r w:rsidR="00212528">
        <w:rPr>
          <w:rFonts w:ascii="Verdana" w:hAnsi="Verdana" w:cs="Times New Roman"/>
        </w:rPr>
        <w:t xml:space="preserve">. </w:t>
      </w:r>
      <w:r w:rsidRPr="00267BF6">
        <w:rPr>
          <w:rFonts w:ascii="Verdana" w:hAnsi="Verdana" w:cs="Times New Roman"/>
        </w:rPr>
        <w:t>Покупатель подтверждает, что ознакомился с документацией на недвижимое имущество до подписания настоящего Договора.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8089B" w14:textId="5ABBD730" w:rsidR="00B86985" w:rsidRPr="00B86985" w:rsidRDefault="00B86985" w:rsidP="00212528">
      <w:pPr>
        <w:numPr>
          <w:ilvl w:val="1"/>
          <w:numId w:val="27"/>
        </w:numPr>
        <w:ind w:left="0" w:firstLine="71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6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составляет </w:t>
      </w:r>
      <w:r w:rsidRPr="00B86985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</w:t>
      </w:r>
      <w:proofErr w:type="gramStart"/>
      <w:r w:rsidRPr="00B86985">
        <w:rPr>
          <w:rFonts w:ascii="Verdana" w:eastAsia="Times New Roman" w:hAnsi="Verdana" w:cs="Times New Roman"/>
          <w:i/>
          <w:sz w:val="20"/>
          <w:szCs w:val="20"/>
          <w:lang w:eastAsia="ru-RU"/>
        </w:rPr>
        <w:t>_(</w:t>
      </w:r>
      <w:proofErr w:type="gramEnd"/>
      <w:r w:rsidRPr="00B86985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__________________)</w:t>
      </w:r>
      <w:r w:rsidRPr="00B86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</w:t>
      </w:r>
      <w:r w:rsidR="00E96631" w:rsidRPr="00B86985">
        <w:rPr>
          <w:rFonts w:ascii="Verdana" w:eastAsia="Times New Roman" w:hAnsi="Verdana" w:cs="Times New Roman"/>
          <w:sz w:val="20"/>
          <w:szCs w:val="20"/>
          <w:lang w:eastAsia="ru-RU"/>
        </w:rPr>
        <w:t>НДС не облагается в соответствии с пп.6 п.2 ст. 146 НК РФ)</w:t>
      </w:r>
      <w:r w:rsidRPr="00B86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), </w:t>
      </w:r>
      <w:r w:rsidR="00AE41D9">
        <w:rPr>
          <w:rFonts w:ascii="Verdana" w:eastAsia="Times New Roman" w:hAnsi="Verdana" w:cs="Times New Roman"/>
          <w:sz w:val="20"/>
          <w:szCs w:val="20"/>
          <w:lang w:eastAsia="ru-RU"/>
        </w:rPr>
        <w:t>стоимость каждого Земельного участка указана в Приложении №2 к настоящему Договору.</w:t>
      </w:r>
      <w:bookmarkStart w:id="0" w:name="_GoBack"/>
      <w:bookmarkEnd w:id="0"/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294211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3452909D" w:rsidR="00294211" w:rsidRPr="008509DF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E6BB63D" w:rsidR="00294211" w:rsidRPr="008509DF" w:rsidRDefault="00294211" w:rsidP="0054160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(НДС не облагается)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294211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AA0DDC5" w14:textId="77777777" w:rsidR="00294211" w:rsidRPr="008076AD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68A782" w14:textId="0AA8C24A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B03A7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03A7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 в</w:t>
            </w:r>
            <w:proofErr w:type="gramEnd"/>
            <w:r w:rsidR="00B03A7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том числе с использованием кредитных средств Банка </w:t>
            </w:r>
          </w:p>
          <w:p w14:paraId="71EEF101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6A097D7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7AF226E" w14:textId="77777777" w:rsidR="00294211" w:rsidRPr="00D22B24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9B6DFE8" w14:textId="196A9656" w:rsidR="003D4110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3D4110" w:rsidRPr="003D4110" w14:paraId="06EF100B" w14:textId="77777777">
              <w:trPr>
                <w:trHeight w:val="87"/>
              </w:trPr>
              <w:tc>
                <w:tcPr>
                  <w:tcW w:w="0" w:type="auto"/>
                </w:tcPr>
                <w:p w14:paraId="77B8C874" w14:textId="4FF1BF55" w:rsidR="003D4110" w:rsidRPr="003D4110" w:rsidRDefault="00B03A77" w:rsidP="00B03A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(</w:t>
                  </w:r>
                  <w:r w:rsidR="003D4110" w:rsidRPr="003D4110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с использованием кредитных средств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б</w:t>
                  </w:r>
                  <w:r w:rsidRPr="003D4110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анка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)</w:t>
                  </w:r>
                  <w:r w:rsidR="003D4110" w:rsidRPr="003D4110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</w:tc>
            </w:tr>
          </w:tbl>
          <w:p w14:paraId="74DBBCE3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CEA365E" w14:textId="77777777" w:rsidR="00294211" w:rsidRPr="00373E89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0348F30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оплаты с использованием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кредитных средств</w:t>
            </w:r>
          </w:p>
          <w:p w14:paraId="6B65F283" w14:textId="77777777" w:rsidR="00294211" w:rsidRDefault="00294211" w:rsidP="00294211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(аккредитив или номинальный счет Общества с ограниченной ответственностью «Центр недвижимости от Сбербанка» (ООО «ЦНС»)) </w:t>
            </w:r>
          </w:p>
          <w:p w14:paraId="41156FC5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E6DACDC" w14:textId="77777777" w:rsidR="00294211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008D5B07" w:rsidR="00294211" w:rsidRPr="008C63A5" w:rsidRDefault="00294211" w:rsidP="002942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295BC8A1" w14:textId="53196725" w:rsidR="00294211" w:rsidRDefault="00294211" w:rsidP="0029421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ечение 20 (двадцати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  <w:p w14:paraId="59B9540A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2C97C3" w14:textId="434D7016" w:rsidR="00294211" w:rsidRPr="00D94F08" w:rsidRDefault="00294211" w:rsidP="0029421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20 (двадцати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</w:t>
            </w:r>
            <w:r w:rsidRPr="00D94F08">
              <w:rPr>
                <w:rFonts w:ascii="Verdana" w:hAnsi="Verdana"/>
                <w:sz w:val="20"/>
                <w:szCs w:val="20"/>
              </w:rPr>
              <w:lastRenderedPageBreak/>
              <w:t>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</w:p>
          <w:p w14:paraId="66C6F46C" w14:textId="77777777" w:rsidR="00294211" w:rsidRDefault="00294211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9BB23E" w14:textId="77777777" w:rsidR="00294211" w:rsidRPr="00373E89" w:rsidRDefault="00294211" w:rsidP="00294211">
            <w:pPr>
              <w:rPr>
                <w:rFonts w:ascii="Verdana" w:hAnsi="Verdana"/>
                <w:sz w:val="20"/>
                <w:szCs w:val="20"/>
              </w:rPr>
            </w:pPr>
          </w:p>
          <w:p w14:paraId="6511DAA6" w14:textId="77777777" w:rsidR="00294211" w:rsidRDefault="00294211" w:rsidP="00294211">
            <w:pPr>
              <w:rPr>
                <w:rFonts w:ascii="Verdana" w:hAnsi="Verdana"/>
                <w:sz w:val="20"/>
                <w:szCs w:val="20"/>
              </w:rPr>
            </w:pPr>
          </w:p>
          <w:p w14:paraId="059F27DC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EAD698" w14:textId="77777777" w:rsidR="00B03A77" w:rsidRDefault="00B03A77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B80BD9" w14:textId="1F74994F" w:rsidR="00294211" w:rsidRPr="00566401" w:rsidRDefault="00294211" w:rsidP="0029421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2.2.1.1. 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73E89">
              <w:rPr>
                <w:rFonts w:ascii="Verdana" w:hAnsi="Verdana"/>
                <w:sz w:val="20"/>
                <w:szCs w:val="20"/>
              </w:rPr>
              <w:t>оговора, приобретается с использованием Покупателем кредитных средств _________________________________ (наименование 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5D6A8B89" w14:textId="73171C3B" w:rsidR="00AF721D" w:rsidRPr="00294211" w:rsidRDefault="00294211" w:rsidP="00212528">
            <w:pPr>
              <w:numPr>
                <w:ilvl w:val="2"/>
                <w:numId w:val="22"/>
              </w:numPr>
              <w:autoSpaceDE w:val="0"/>
              <w:autoSpaceDN w:val="0"/>
              <w:spacing w:after="0" w:line="240" w:lineRule="auto"/>
              <w:ind w:left="31" w:firstLine="83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Задаток, внесенный Покупателем для участия в аукционе в размере </w:t>
            </w:r>
            <w:r w:rsidR="0021252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11 108 299</w:t>
            </w:r>
            <w:r w:rsidRPr="002942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21252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Одиннадцать миллионов</w:t>
            </w:r>
            <w:r w:rsidR="00836C3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сто восемь тысяч двести девяносто девять</w:t>
            </w:r>
            <w:r w:rsidRPr="002942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9421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рублей </w:t>
            </w:r>
            <w:r w:rsidR="00212528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7</w:t>
            </w:r>
            <w:r w:rsidRPr="0029421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0</w:t>
            </w: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копеек </w:t>
            </w:r>
            <w:r w:rsidRPr="0029421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облагается),</w:t>
            </w:r>
            <w:r w:rsidRPr="0029421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942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засчитывается в счет оплаты цены недвижимого имущества.</w:t>
            </w: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294211" w:rsidRPr="008509DF" w14:paraId="6DD0C0DF" w14:textId="77777777" w:rsidTr="00836C33">
        <w:trPr>
          <w:trHeight w:val="1714"/>
        </w:trPr>
        <w:tc>
          <w:tcPr>
            <w:tcW w:w="2757" w:type="dxa"/>
            <w:shd w:val="clear" w:color="auto" w:fill="auto"/>
          </w:tcPr>
          <w:p w14:paraId="4CE4D4E6" w14:textId="77777777" w:rsidR="00294211" w:rsidRPr="008509DF" w:rsidRDefault="00294211" w:rsidP="0029421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DE1A22E" w14:textId="77777777" w:rsidR="00E670E2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E670E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</w:t>
            </w:r>
          </w:p>
          <w:p w14:paraId="200B7562" w14:textId="4A6957FD" w:rsidR="00E670E2" w:rsidRDefault="00E670E2" w:rsidP="00E670E2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оплате собственными средствами Покупателя</w:t>
            </w:r>
            <w:r w:rsidR="000B1BE2">
              <w:rPr>
                <w:sz w:val="18"/>
                <w:szCs w:val="18"/>
              </w:rPr>
              <w:t xml:space="preserve"> с использованием</w:t>
            </w:r>
            <w:r w:rsidR="00964281">
              <w:rPr>
                <w:sz w:val="18"/>
                <w:szCs w:val="18"/>
              </w:rPr>
              <w:t xml:space="preserve"> расчет</w:t>
            </w:r>
            <w:r w:rsidR="000B1BE2">
              <w:rPr>
                <w:sz w:val="18"/>
                <w:szCs w:val="18"/>
              </w:rPr>
              <w:t>ов по</w:t>
            </w:r>
            <w:r>
              <w:rPr>
                <w:sz w:val="18"/>
                <w:szCs w:val="18"/>
              </w:rPr>
              <w:t xml:space="preserve"> аккредитиву или номинального счета ООО ЦНС </w:t>
            </w:r>
          </w:p>
          <w:p w14:paraId="01C85120" w14:textId="367056AF" w:rsidR="00294211" w:rsidRDefault="00E670E2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</w:p>
          <w:p w14:paraId="7CDCFCBB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4D89669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40F0A18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0030D4B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021B02A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77024C3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43EF6B9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E8C05A7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4CC1A79E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C482AF8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7A54C61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B6FE85F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F327B1F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EAA42B4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4CDE9B3" w14:textId="77777777" w:rsidR="00294211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2FDF1002" w:rsidR="00294211" w:rsidRPr="008509DF" w:rsidRDefault="00294211" w:rsidP="002942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627C4D85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5B6CCB2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7892AB" w14:textId="23835EEA" w:rsidR="00294211" w:rsidRPr="00836C33" w:rsidRDefault="00294211" w:rsidP="00836C33">
            <w:pPr>
              <w:pStyle w:val="ConsNonformat"/>
              <w:tabs>
                <w:tab w:val="left" w:pos="1276"/>
              </w:tabs>
              <w:contextualSpacing/>
              <w:jc w:val="both"/>
            </w:pPr>
            <w:r w:rsidRPr="008076AD">
              <w:rPr>
                <w:rFonts w:ascii="Verdana" w:hAnsi="Verdana"/>
              </w:rPr>
              <w:t>2.</w:t>
            </w:r>
            <w:r>
              <w:rPr>
                <w:rFonts w:ascii="Verdana" w:hAnsi="Verdana"/>
              </w:rPr>
              <w:t xml:space="preserve">6.2. </w:t>
            </w:r>
            <w:r w:rsidRPr="008076AD">
              <w:rPr>
                <w:rFonts w:ascii="Verdana" w:hAnsi="Verdana"/>
              </w:rPr>
              <w:t xml:space="preserve">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</w:t>
            </w:r>
            <w:r w:rsidRPr="008076AD">
              <w:rPr>
                <w:rFonts w:ascii="Verdana" w:hAnsi="Verdana"/>
              </w:rPr>
              <w:lastRenderedPageBreak/>
              <w:t>Договора</w:t>
            </w:r>
            <w:r>
              <w:rPr>
                <w:rFonts w:ascii="Verdana" w:hAnsi="Verdana"/>
              </w:rPr>
              <w:t xml:space="preserve"> </w:t>
            </w:r>
            <w:r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Pr="008076AD">
              <w:rPr>
                <w:rFonts w:ascii="Verdana" w:hAnsi="Verdana"/>
              </w:rPr>
              <w:t xml:space="preserve">, в течение </w:t>
            </w:r>
            <w:r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</w:tc>
      </w:tr>
      <w:tr w:rsidR="00294211" w:rsidRPr="008509DF" w14:paraId="5EBFA9B6" w14:textId="77777777" w:rsidTr="00294211">
        <w:tc>
          <w:tcPr>
            <w:tcW w:w="2757" w:type="dxa"/>
            <w:shd w:val="clear" w:color="auto" w:fill="auto"/>
          </w:tcPr>
          <w:p w14:paraId="4BDFFCF0" w14:textId="77777777" w:rsidR="00294211" w:rsidRPr="008509DF" w:rsidRDefault="00294211" w:rsidP="0029421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AF763EB" w14:textId="27F442EB" w:rsidR="00294211" w:rsidRPr="008509DF" w:rsidRDefault="00294211" w:rsidP="0029421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 xml:space="preserve">Залог не устанавливается </w:t>
            </w:r>
          </w:p>
          <w:p w14:paraId="730DCAA9" w14:textId="77777777" w:rsidR="00294211" w:rsidRPr="008509DF" w:rsidRDefault="00294211" w:rsidP="0029421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E41D077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  <w:p w14:paraId="5DE71722" w14:textId="77777777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201713" w14:textId="40A0F56A" w:rsidR="00294211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2FC11B51" w:rsidR="00294211" w:rsidRPr="00672CCD" w:rsidRDefault="00294211" w:rsidP="00294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1B75F778" w:rsidR="008A1B72" w:rsidRPr="008509DF" w:rsidRDefault="00294211" w:rsidP="0029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2.7. </w:t>
      </w:r>
      <w:r w:rsidRPr="002942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 вправе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</w:t>
      </w:r>
      <w:r w:rsidR="0046748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в полном объеме </w:t>
      </w:r>
      <w:r w:rsidRPr="00294211">
        <w:rPr>
          <w:rFonts w:ascii="Verdana" w:eastAsia="Times New Roman" w:hAnsi="Verdana" w:cs="Times New Roman"/>
          <w:sz w:val="20"/>
          <w:szCs w:val="20"/>
          <w:lang w:eastAsia="ru-RU"/>
        </w:rPr>
        <w:t>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2DA7EAA4" w14:textId="454BDE15" w:rsidR="00205AB2" w:rsidRPr="009D296D" w:rsidRDefault="00205AB2" w:rsidP="00205A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Pr="0096428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 w:rsidRPr="009D29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5 (пяти) рабочих дней </w:t>
      </w:r>
    </w:p>
    <w:p w14:paraId="46621939" w14:textId="1541DDD3" w:rsidR="007D5E49" w:rsidRPr="008076AD" w:rsidRDefault="00205AB2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 w:rsidRPr="00964281">
        <w:rPr>
          <w:rFonts w:ascii="Verdana" w:hAnsi="Verdana"/>
        </w:rPr>
        <w:t xml:space="preserve">с даты поступления на расчетный счет Продавца денежных средств по Договору в полном объеме </w:t>
      </w: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словиях, 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EEF48ED" w14:textId="0C6631BA" w:rsidR="00BD6F1F" w:rsidRDefault="0059581D" w:rsidP="00BD6F1F">
      <w:pPr>
        <w:pStyle w:val="Default"/>
        <w:rPr>
          <w:sz w:val="18"/>
          <w:szCs w:val="18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 xml:space="preserve">, </w:t>
      </w:r>
      <w:r w:rsidR="00BD6F1F">
        <w:rPr>
          <w:sz w:val="18"/>
          <w:szCs w:val="18"/>
        </w:rPr>
        <w:t>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</w:p>
    <w:p w14:paraId="0BEE3C6C" w14:textId="7A7017FE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836C33">
        <w:tc>
          <w:tcPr>
            <w:tcW w:w="2410" w:type="dxa"/>
          </w:tcPr>
          <w:p w14:paraId="6963AE27" w14:textId="77777777" w:rsidR="00E450A7" w:rsidRPr="001A2FCF" w:rsidRDefault="00E450A7" w:rsidP="00836C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836C33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836C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8FA517C" w14:textId="07A82D9A" w:rsidR="00354486" w:rsidRPr="008509DF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59313E" w:rsidRPr="0035448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с</w:t>
            </w:r>
            <w:proofErr w:type="gramEnd"/>
            <w:r w:rsidR="0059313E" w:rsidRPr="00354486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3E8F24CA" w14:textId="062284C5" w:rsidR="00E450A7" w:rsidRDefault="00354486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8509DF" w:rsidDel="0035448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87045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566E" w14:paraId="11311C31" w14:textId="77777777" w:rsidTr="00836C33">
        <w:tc>
          <w:tcPr>
            <w:tcW w:w="2410" w:type="dxa"/>
          </w:tcPr>
          <w:p w14:paraId="0A816A2A" w14:textId="77777777" w:rsidR="00E450A7" w:rsidRPr="001A2FCF" w:rsidRDefault="00E450A7" w:rsidP="00836C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353316DE" w:rsidR="00073672" w:rsidRPr="001C1460" w:rsidRDefault="00E5317E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Pr="00C4052E">
              <w:rPr>
                <w:sz w:val="18"/>
                <w:szCs w:val="18"/>
              </w:rPr>
              <w:t xml:space="preserve"> </w:t>
            </w:r>
            <w:r w:rsidR="007A3022" w:rsidRPr="00C4052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дес</w:t>
            </w:r>
            <w:r w:rsidRPr="00C4052E">
              <w:rPr>
                <w:sz w:val="18"/>
                <w:szCs w:val="18"/>
              </w:rPr>
              <w:t>яти</w:t>
            </w:r>
            <w:r w:rsidR="007A3022" w:rsidRPr="00C4052E">
              <w:rPr>
                <w:sz w:val="18"/>
                <w:szCs w:val="18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836C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836C33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754C215A" w:rsidR="00566401" w:rsidRDefault="00E5317E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4052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дес</w:t>
            </w:r>
            <w:r w:rsidRPr="00C4052E">
              <w:rPr>
                <w:sz w:val="18"/>
                <w:szCs w:val="18"/>
              </w:rPr>
              <w:t xml:space="preserve">яти) </w:t>
            </w:r>
            <w:r w:rsidR="0056640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</w:t>
            </w:r>
            <w:r w:rsidR="00B3589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полном объеме</w:t>
            </w:r>
            <w:r w:rsidR="00B3589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566401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на номинальном счете ООО «ЦНС»</w:t>
            </w:r>
            <w:r w:rsidR="00566401" w:rsidRPr="00487B5E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16CC3705" w14:textId="77777777" w:rsidR="003F535B" w:rsidRPr="003F535B" w:rsidRDefault="003F535B" w:rsidP="003F5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Продавец вправе в одностороннем внесудебном порядке отказаться  от исполнения Договора (расторгнуть Договор) в следующих случаях:</w:t>
      </w:r>
    </w:p>
    <w:p w14:paraId="6C95F93D" w14:textId="380E6376" w:rsidR="004D0329" w:rsidRPr="008509DF" w:rsidRDefault="003F535B" w:rsidP="003F5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535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9.2.1.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836C33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1D66672F" w:rsidR="00214EE9" w:rsidRPr="00214EE9" w:rsidRDefault="00E72A87" w:rsidP="00FA3B3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в размере и сроки, установленные Договором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836C33">
        <w:tc>
          <w:tcPr>
            <w:tcW w:w="4854" w:type="dxa"/>
            <w:shd w:val="clear" w:color="auto" w:fill="auto"/>
          </w:tcPr>
          <w:p w14:paraId="28C78F0C" w14:textId="367BDE2C" w:rsidR="00214EE9" w:rsidRPr="00214EE9" w:rsidRDefault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При аккредитивной форме расчетов</w:t>
            </w:r>
            <w:r w:rsidR="00CA231B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4CC15EB1" w:rsidR="00214EE9" w:rsidRPr="00E72A87" w:rsidRDefault="00E72A87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открыт/не продлен аккредитив в установленные Договором сроки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14:paraId="4BE8FBD4" w14:textId="77273BB6" w:rsid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E72A87" w:rsidRPr="00E72A87" w14:paraId="03237432" w14:textId="77777777" w:rsidTr="00836C33">
        <w:tc>
          <w:tcPr>
            <w:tcW w:w="4854" w:type="dxa"/>
            <w:shd w:val="clear" w:color="auto" w:fill="auto"/>
          </w:tcPr>
          <w:p w14:paraId="4F8A5C99" w14:textId="7948FFB4" w:rsidR="00E72A87" w:rsidRPr="00E72A87" w:rsidRDefault="00E72A87" w:rsidP="00D56C9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</w:t>
            </w:r>
            <w:r w:rsidRPr="00F70C5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При расчет</w:t>
            </w:r>
            <w:r w:rsidR="00D56C9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ах</w:t>
            </w: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с использованием номинального счета ООО «ЦНС» </w:t>
            </w:r>
          </w:p>
        </w:tc>
        <w:tc>
          <w:tcPr>
            <w:tcW w:w="4717" w:type="dxa"/>
            <w:shd w:val="clear" w:color="auto" w:fill="auto"/>
          </w:tcPr>
          <w:p w14:paraId="55D0EF97" w14:textId="0F85AD6C" w:rsidR="00E72A87" w:rsidRPr="00E72A87" w:rsidRDefault="00E72A87" w:rsidP="00E72A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размещены денежные средства в установленные Договором сроки</w:t>
            </w:r>
            <w:r w:rsidR="008D0C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/не открыт</w:t>
            </w:r>
            <w:r w:rsidR="002D0A8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/не продлен счет ООО «ЦНС»</w:t>
            </w:r>
            <w:r w:rsidRPr="00E72A8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14:paraId="0A0F2C4E" w14:textId="008694E1" w:rsidR="00E72A87" w:rsidRPr="00E72A87" w:rsidRDefault="00E72A87" w:rsidP="00E72A8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23AC64DD" w14:textId="77777777" w:rsidR="00046C89" w:rsidRPr="0055668A" w:rsidRDefault="00046C89" w:rsidP="00F70C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B17B34" w14:textId="6A585515" w:rsidR="00C84E1C" w:rsidRDefault="003F428E" w:rsidP="00836C33">
      <w:pPr>
        <w:pStyle w:val="Default"/>
        <w:ind w:firstLine="709"/>
        <w:rPr>
          <w:sz w:val="18"/>
          <w:szCs w:val="18"/>
        </w:rPr>
      </w:pPr>
      <w:r w:rsidRPr="0055668A">
        <w:rPr>
          <w:rFonts w:eastAsia="Times New Roman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eastAsia="Times New Roman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eastAsia="Times New Roman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eastAsia="Times New Roman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eastAsia="Times New Roman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eastAsia="Times New Roman" w:cs="Times New Roman"/>
          <w:sz w:val="20"/>
          <w:szCs w:val="20"/>
          <w:lang w:eastAsia="ru-RU"/>
        </w:rPr>
        <w:t xml:space="preserve">родавцом Покупателю. </w:t>
      </w:r>
      <w:r w:rsidR="002D0CC3" w:rsidRPr="00E72A87">
        <w:rPr>
          <w:rFonts w:eastAsia="Times New Roman" w:cs="Times New Roman"/>
          <w:i/>
          <w:sz w:val="20"/>
          <w:szCs w:val="20"/>
          <w:lang w:eastAsia="ru-RU"/>
        </w:rPr>
        <w:t xml:space="preserve">При этом Договор считается расторгнутым </w:t>
      </w:r>
      <w:r w:rsidR="00C84E1C">
        <w:rPr>
          <w:rFonts w:eastAsia="Times New Roman" w:cs="Times New Roman"/>
          <w:i/>
          <w:sz w:val="20"/>
          <w:szCs w:val="20"/>
          <w:lang w:eastAsia="ru-RU"/>
        </w:rPr>
        <w:t xml:space="preserve">в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08"/>
      </w:tblGrid>
      <w:tr w:rsidR="00C84E1C" w14:paraId="418F40B0" w14:textId="77777777">
        <w:trPr>
          <w:trHeight w:val="196"/>
        </w:trPr>
        <w:tc>
          <w:tcPr>
            <w:tcW w:w="7008" w:type="dxa"/>
          </w:tcPr>
          <w:p w14:paraId="42473A2A" w14:textId="77777777" w:rsidR="00C84E1C" w:rsidRDefault="00C84E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дату получения Покупателем указанного уведомления. </w:t>
            </w:r>
          </w:p>
        </w:tc>
      </w:tr>
    </w:tbl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4D75515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</w:t>
      </w:r>
      <w:r w:rsidR="00836C33">
        <w:rPr>
          <w:rFonts w:ascii="Verdana" w:hAnsi="Verdana"/>
          <w:sz w:val="20"/>
          <w:szCs w:val="20"/>
        </w:rPr>
        <w:t xml:space="preserve">22 </w:t>
      </w:r>
      <w:r w:rsidR="00083142" w:rsidRPr="0055668A">
        <w:rPr>
          <w:rFonts w:ascii="Verdana" w:hAnsi="Verdana"/>
          <w:sz w:val="20"/>
          <w:szCs w:val="20"/>
        </w:rPr>
        <w:t>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17669A2D" w14:textId="4F7F203B" w:rsidR="00836C33" w:rsidRPr="0055668A" w:rsidRDefault="00836C33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Приложение № 2 Перечень недвижимого имущества к </w:t>
      </w:r>
      <w:r w:rsidRPr="00836C33">
        <w:rPr>
          <w:rFonts w:ascii="Verdana" w:hAnsi="Verdana"/>
          <w:sz w:val="20"/>
          <w:szCs w:val="20"/>
        </w:rPr>
        <w:t>Договору купли-продажи недвижимого имущества от «____» __________20</w:t>
      </w:r>
      <w:r>
        <w:rPr>
          <w:rFonts w:ascii="Verdana" w:hAnsi="Verdana"/>
          <w:sz w:val="20"/>
          <w:szCs w:val="20"/>
        </w:rPr>
        <w:t xml:space="preserve">22 </w:t>
      </w:r>
      <w:r w:rsidRPr="00836C33">
        <w:rPr>
          <w:rFonts w:ascii="Verdana" w:hAnsi="Verdana"/>
          <w:sz w:val="20"/>
          <w:szCs w:val="20"/>
        </w:rPr>
        <w:t>года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7B7B0355" w:rsidR="00C76935" w:rsidRPr="0055668A" w:rsidRDefault="00C76935" w:rsidP="00836C33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836C33">
                    <w:rPr>
                      <w:rFonts w:ascii="Verdana" w:hAnsi="Verdana"/>
                      <w:sz w:val="20"/>
                      <w:szCs w:val="20"/>
                    </w:rPr>
                    <w:t xml:space="preserve">3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A563662" w14:textId="78591D55" w:rsidR="00B951BA" w:rsidRDefault="00B951BA" w:rsidP="001B57EA">
      <w:pPr>
        <w:widowControl w:val="0"/>
        <w:autoSpaceDE w:val="0"/>
        <w:autoSpaceDN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856B757" w14:textId="36D1968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9"/>
        <w:gridCol w:w="6596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53F809C9" w14:textId="77777777" w:rsidR="00B951B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  <w:p w14:paraId="18C04ED8" w14:textId="41F1151A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49D66E6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>Адрес: 109004, г. Москва, Известковый пер., д. 3</w:t>
            </w:r>
          </w:p>
          <w:p w14:paraId="45814265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 xml:space="preserve">ИНН 7831001567 </w:t>
            </w:r>
          </w:p>
          <w:p w14:paraId="0ADD096A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>КПП 770901001/997950001</w:t>
            </w:r>
          </w:p>
          <w:p w14:paraId="5CBEF07D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bCs/>
                <w:sz w:val="20"/>
                <w:szCs w:val="20"/>
              </w:rPr>
              <w:t xml:space="preserve">ОГРН 1027800000480 </w:t>
            </w:r>
            <w:r w:rsidRPr="00B951B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241CC21B" w14:textId="77777777" w:rsidR="00B951BA" w:rsidRPr="00B951BA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31C471DA" w14:textId="7E4F3F5A" w:rsidR="004816A7" w:rsidRPr="008509DF" w:rsidRDefault="00B951BA" w:rsidP="00B951B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51BA">
              <w:rPr>
                <w:rFonts w:ascii="Verdana" w:hAnsi="Verdana"/>
                <w:sz w:val="20"/>
                <w:szCs w:val="20"/>
              </w:rPr>
              <w:t>Номер счета: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3D06ABDB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="00B951BA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Иванова Н.А.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47FA8CCE" w14:textId="77777777" w:rsidR="00152A31" w:rsidRDefault="00152A31" w:rsidP="00152A31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</w:pPr>
    </w:p>
    <w:p w14:paraId="787947ED" w14:textId="57ADF771" w:rsidR="00152A31" w:rsidRPr="00152A31" w:rsidRDefault="00152A31" w:rsidP="00152A31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152A31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152A31">
        <w:rPr>
          <w:rFonts w:ascii="Verdana" w:eastAsia="Times New Roman" w:hAnsi="Verdana" w:cs="Times New Roman"/>
          <w:i/>
          <w:sz w:val="20"/>
          <w:szCs w:val="20"/>
          <w:lang w:eastAsia="ru-RU"/>
        </w:rPr>
        <w:t>, именуемое в дальнейшем «Продавец», в лице Ивановой Наталии Александровны, действующей на основании доверенности № 92/2021 от 06 июля 2021 года, удостоверенной нотариусом гор. Москвы Красновым Германом Евгеньевичем, зарегистрировано в реестре № 77/287-Н/77-2021-17-802,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1FC4F942" w:rsidR="00DD5861" w:rsidRDefault="00DD5861" w:rsidP="000D5F04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0D5F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22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0E71336F" w14:textId="70823B43" w:rsidR="00515F5D" w:rsidRPr="003B25F0" w:rsidRDefault="000D5F04" w:rsidP="00A73F3F">
            <w:pPr>
              <w:widowControl w:val="0"/>
              <w:tabs>
                <w:tab w:val="left" w:pos="810"/>
              </w:tabs>
              <w:rPr>
                <w:rFonts w:ascii="Verdana" w:hAnsi="Verdana"/>
                <w:sz w:val="18"/>
                <w:szCs w:val="18"/>
              </w:rPr>
            </w:pPr>
            <w:r w:rsidRPr="000D5F04">
              <w:rPr>
                <w:rFonts w:ascii="Verdana" w:hAnsi="Verdana"/>
                <w:sz w:val="18"/>
                <w:szCs w:val="18"/>
              </w:rPr>
              <w:t>-</w:t>
            </w:r>
            <w:r w:rsidRPr="000D5F04">
              <w:rPr>
                <w:rFonts w:ascii="Verdana" w:hAnsi="Verdana"/>
                <w:sz w:val="18"/>
                <w:szCs w:val="18"/>
              </w:rPr>
              <w:tab/>
              <w:t xml:space="preserve">21 Земельный участок, </w:t>
            </w:r>
            <w:r>
              <w:rPr>
                <w:rFonts w:ascii="Verdana" w:hAnsi="Verdana"/>
                <w:sz w:val="18"/>
                <w:szCs w:val="18"/>
              </w:rPr>
              <w:t>в соответствии с Приложением № 1 к настоящему Акту приема-передачи.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опломбированы. Показания приборов учета на дату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30747516" w14:textId="77777777" w:rsidR="005D2FEF" w:rsidRPr="00DE4A80" w:rsidDel="005D2FE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D2FEF" w:rsidRPr="0055668A" w14:paraId="1A45755B" w14:textId="77777777" w:rsidTr="00836C33">
        <w:tc>
          <w:tcPr>
            <w:tcW w:w="2411" w:type="dxa"/>
            <w:shd w:val="clear" w:color="auto" w:fill="auto"/>
          </w:tcPr>
          <w:p w14:paraId="7EBC8F13" w14:textId="77777777" w:rsidR="005D2FEF" w:rsidRPr="0055668A" w:rsidRDefault="005D2FEF" w:rsidP="00836C3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2C9D40D" w14:textId="77777777" w:rsidR="005D2FEF" w:rsidRPr="0055668A" w:rsidRDefault="005D2FEF" w:rsidP="00836C3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33D8ABD9" w14:textId="77777777" w:rsidR="005D2FEF" w:rsidRPr="0055668A" w:rsidRDefault="005D2FEF" w:rsidP="00836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5D2FEF" w:rsidRPr="0055668A" w14:paraId="546879E7" w14:textId="77777777" w:rsidTr="00836C33">
        <w:tc>
          <w:tcPr>
            <w:tcW w:w="2411" w:type="dxa"/>
            <w:shd w:val="clear" w:color="auto" w:fill="auto"/>
          </w:tcPr>
          <w:p w14:paraId="75B3EF82" w14:textId="77777777" w:rsidR="005D2FEF" w:rsidRPr="0055668A" w:rsidRDefault="005D2FEF" w:rsidP="00836C3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12F84B0F" w14:textId="77777777" w:rsidR="005D2FEF" w:rsidRPr="0055668A" w:rsidRDefault="005D2FEF" w:rsidP="00836C3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A64499A" w14:textId="77777777" w:rsidR="005D2FEF" w:rsidRPr="0055668A" w:rsidRDefault="005D2FEF" w:rsidP="00836C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2D054FA8" w14:textId="1624B790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9EDF6DF" w14:textId="77777777" w:rsidR="00152A31" w:rsidRDefault="00152A3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52E157B1" w:rsidR="00DD5861" w:rsidRDefault="00152A3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Иванова Н.А.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/_____________/                   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_____________/___________/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00B8DC01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DCB86D" w14:textId="7DF085C5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48DFD7" w14:textId="0C5B0101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4231AC" w14:textId="6A70EA8A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E2A09B" w14:textId="20B6668F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892CE1" w14:textId="277EAF8A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211ABF" w14:textId="11A861F8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C32A29" w14:textId="0C81C0C3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CCBA1A" w14:textId="3D095F81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A1A6B0" w14:textId="13B734FD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7884FB" w14:textId="74F76401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C46AD4" w14:textId="7726B462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E2FD67" w14:textId="72F668C0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1D900C" w14:textId="25C9283B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192D0F" w14:textId="790943DA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7D005F" w14:textId="6D3CED08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5E3FE5" w14:textId="332DF53D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25F0FE" w14:textId="5FA05211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794B11" w14:textId="66195163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542B56" w14:textId="03B801E7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2DA806" w14:textId="322D9C9E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813" w14:textId="55E11AAB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C907C2" w14:textId="3A853B16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389522" w14:textId="700BE4B6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521A06" w14:textId="5630670C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EE0882" w14:textId="77777777" w:rsidR="000D5F04" w:rsidRDefault="000D5F04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C1BAF5E" w14:textId="77777777" w:rsidR="00775555" w:rsidRPr="00F70C5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5"/>
      </w:tblGrid>
      <w:tr w:rsidR="00775555" w14:paraId="7FFA57A9" w14:textId="77777777">
        <w:trPr>
          <w:trHeight w:val="87"/>
        </w:trPr>
        <w:tc>
          <w:tcPr>
            <w:tcW w:w="4465" w:type="dxa"/>
          </w:tcPr>
          <w:p w14:paraId="42242709" w14:textId="77777777" w:rsidR="00775555" w:rsidRDefault="0077555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Банк-эмитент по аккредитиву - из топ-30 по </w:t>
            </w:r>
          </w:p>
        </w:tc>
      </w:tr>
    </w:tbl>
    <w:p w14:paraId="20ABC722" w14:textId="56201241" w:rsidR="00775555" w:rsidRPr="00775555" w:rsidRDefault="00775555" w:rsidP="007755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75555">
        <w:rPr>
          <w:rFonts w:ascii="Verdana" w:hAnsi="Verdana" w:cs="Verdana"/>
          <w:color w:val="000000"/>
          <w:sz w:val="18"/>
          <w:szCs w:val="18"/>
        </w:rPr>
        <w:t xml:space="preserve">объему капитала (прим: рейтинг доступен по ссылке: </w:t>
      </w:r>
      <w:hyperlink r:id="rId8" w:history="1">
        <w:r w:rsidRPr="000F29FB">
          <w:rPr>
            <w:rStyle w:val="af5"/>
            <w:rFonts w:ascii="Verdana" w:hAnsi="Verdana" w:cs="Verdana"/>
            <w:sz w:val="18"/>
            <w:szCs w:val="18"/>
          </w:rPr>
          <w:t>http://vid1.rian.ru/ig/ratings/banki</w:t>
        </w:r>
      </w:hyperlink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23ECF1BD" w14:textId="51A32DAA" w:rsidR="00686D08" w:rsidRPr="000C2791" w:rsidRDefault="00686D08" w:rsidP="00F70C59">
      <w:pPr>
        <w:pStyle w:val="a5"/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hAnsi="Verdana"/>
          <w:i/>
          <w:color w:val="0070C0"/>
        </w:rPr>
        <w:t xml:space="preserve">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762C921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</w:t>
      </w:r>
      <w:r w:rsidR="00BA4C0A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  <w:tr w:rsidR="00013BE9" w:rsidRPr="001F4AB1" w14:paraId="2BE4EFCC" w14:textId="77777777" w:rsidTr="00013BE9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1BB481" w14:textId="77777777" w:rsidR="00013BE9" w:rsidRPr="001F4AB1" w:rsidRDefault="00013BE9" w:rsidP="00836C3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</w:p>
          <w:p w14:paraId="36E8C13C" w14:textId="77777777" w:rsidR="00013BE9" w:rsidRPr="001F4AB1" w:rsidRDefault="00013BE9" w:rsidP="00836C3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аев установления залога    Кредитора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9E4C1" w14:textId="77777777" w:rsidR="00013BE9" w:rsidRPr="001F4AB1" w:rsidRDefault="00013BE9" w:rsidP="00013BE9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FD97E4E" w14:textId="77777777" w:rsidR="00013BE9" w:rsidRDefault="00013BE9" w:rsidP="00013BE9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</w:t>
            </w:r>
            <w:proofErr w:type="gramStart"/>
            <w:r w:rsidRPr="00013BE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 </w:t>
            </w:r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1F4A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«ограничение (обременение) права»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744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отражена информация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 залоге в пользу П</w:t>
            </w:r>
            <w:r w:rsidRPr="00F744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родавца и отражена информация о залоге в пользу Кредитора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5CF4708" w14:textId="77777777" w:rsidR="00013BE9" w:rsidRPr="00013BE9" w:rsidRDefault="00013BE9" w:rsidP="00013BE9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81269E5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="00152A31">
        <w:rPr>
          <w:rFonts w:ascii="Verdana" w:eastAsia="Times New Roman" w:hAnsi="Verdana" w:cs="Times New Roman"/>
          <w:b/>
          <w:sz w:val="20"/>
          <w:szCs w:val="20"/>
          <w:lang w:eastAsia="ru-RU"/>
        </w:rPr>
        <w:t>Иванова Н.А.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6067AA9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38D6" w14:textId="77777777" w:rsidR="00836C33" w:rsidRDefault="00836C33" w:rsidP="00E33D4F">
      <w:pPr>
        <w:spacing w:after="0" w:line="240" w:lineRule="auto"/>
      </w:pPr>
      <w:r>
        <w:separator/>
      </w:r>
    </w:p>
  </w:endnote>
  <w:endnote w:type="continuationSeparator" w:id="0">
    <w:p w14:paraId="63608544" w14:textId="77777777" w:rsidR="00836C33" w:rsidRDefault="00836C3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4AEA250" w:rsidR="00836C33" w:rsidRDefault="00836C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1D9">
          <w:rPr>
            <w:noProof/>
          </w:rPr>
          <w:t>15</w:t>
        </w:r>
        <w:r>
          <w:fldChar w:fldCharType="end"/>
        </w:r>
      </w:p>
    </w:sdtContent>
  </w:sdt>
  <w:p w14:paraId="0AC1054C" w14:textId="77777777" w:rsidR="00836C33" w:rsidRDefault="00836C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EDE11" w14:textId="77777777" w:rsidR="00836C33" w:rsidRDefault="00836C33" w:rsidP="00E33D4F">
      <w:pPr>
        <w:spacing w:after="0" w:line="240" w:lineRule="auto"/>
      </w:pPr>
      <w:r>
        <w:separator/>
      </w:r>
    </w:p>
  </w:footnote>
  <w:footnote w:type="continuationSeparator" w:id="0">
    <w:p w14:paraId="1053C501" w14:textId="77777777" w:rsidR="00836C33" w:rsidRDefault="00836C33" w:rsidP="00E33D4F">
      <w:pPr>
        <w:spacing w:after="0" w:line="240" w:lineRule="auto"/>
      </w:pPr>
      <w:r>
        <w:continuationSeparator/>
      </w:r>
    </w:p>
  </w:footnote>
  <w:footnote w:id="1">
    <w:p w14:paraId="2D636416" w14:textId="77777777" w:rsidR="00836C33" w:rsidRPr="00120657" w:rsidRDefault="00836C33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59035D48" w14:textId="77777777" w:rsidR="00836C33" w:rsidRPr="00120657" w:rsidRDefault="00836C33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836C33" w:rsidRPr="00D03FB6" w:rsidRDefault="00836C33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836C33" w:rsidRPr="00D03FB6" w:rsidRDefault="00836C33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836C33" w:rsidRPr="008070A5" w:rsidRDefault="00836C33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3BE9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65CC1"/>
    <w:rsid w:val="0007004A"/>
    <w:rsid w:val="00070501"/>
    <w:rsid w:val="000708B4"/>
    <w:rsid w:val="00072336"/>
    <w:rsid w:val="00072D4D"/>
    <w:rsid w:val="00073672"/>
    <w:rsid w:val="0007585E"/>
    <w:rsid w:val="00076B43"/>
    <w:rsid w:val="0007761B"/>
    <w:rsid w:val="00077F5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1BE2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D5F04"/>
    <w:rsid w:val="000D6356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088E"/>
    <w:rsid w:val="00121172"/>
    <w:rsid w:val="00121F6D"/>
    <w:rsid w:val="00122945"/>
    <w:rsid w:val="00123209"/>
    <w:rsid w:val="00123641"/>
    <w:rsid w:val="001275DF"/>
    <w:rsid w:val="00131AF5"/>
    <w:rsid w:val="001332FA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2A31"/>
    <w:rsid w:val="00155A4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B57EA"/>
    <w:rsid w:val="001C1460"/>
    <w:rsid w:val="001C19BE"/>
    <w:rsid w:val="001C2235"/>
    <w:rsid w:val="001C4321"/>
    <w:rsid w:val="001C7960"/>
    <w:rsid w:val="001D1EAB"/>
    <w:rsid w:val="001D2ACF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1F6994"/>
    <w:rsid w:val="0020177F"/>
    <w:rsid w:val="002021CA"/>
    <w:rsid w:val="0020454D"/>
    <w:rsid w:val="00205AB2"/>
    <w:rsid w:val="00205E52"/>
    <w:rsid w:val="00207200"/>
    <w:rsid w:val="00207B27"/>
    <w:rsid w:val="002108E6"/>
    <w:rsid w:val="00211F7A"/>
    <w:rsid w:val="00212528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7B35"/>
    <w:rsid w:val="002613B0"/>
    <w:rsid w:val="002616C6"/>
    <w:rsid w:val="00264A1F"/>
    <w:rsid w:val="00264FB1"/>
    <w:rsid w:val="002675A2"/>
    <w:rsid w:val="00267BF6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4211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0A8A"/>
    <w:rsid w:val="002D0CC3"/>
    <w:rsid w:val="002D2A49"/>
    <w:rsid w:val="002D30C1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5CC0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486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8E0"/>
    <w:rsid w:val="003A6D95"/>
    <w:rsid w:val="003B025F"/>
    <w:rsid w:val="003B25F0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4110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535B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4FA7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484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87B5E"/>
    <w:rsid w:val="00490F8A"/>
    <w:rsid w:val="00493494"/>
    <w:rsid w:val="00496502"/>
    <w:rsid w:val="00497C78"/>
    <w:rsid w:val="004A321F"/>
    <w:rsid w:val="004A3929"/>
    <w:rsid w:val="004A410D"/>
    <w:rsid w:val="004A4409"/>
    <w:rsid w:val="004A608B"/>
    <w:rsid w:val="004A7752"/>
    <w:rsid w:val="004B051A"/>
    <w:rsid w:val="004B5039"/>
    <w:rsid w:val="004B52C4"/>
    <w:rsid w:val="004B717F"/>
    <w:rsid w:val="004B7437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3699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227"/>
    <w:rsid w:val="00526352"/>
    <w:rsid w:val="00526430"/>
    <w:rsid w:val="00530B22"/>
    <w:rsid w:val="00537346"/>
    <w:rsid w:val="0054117F"/>
    <w:rsid w:val="00541604"/>
    <w:rsid w:val="00542717"/>
    <w:rsid w:val="0054280C"/>
    <w:rsid w:val="00545918"/>
    <w:rsid w:val="0055036B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313E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B7503"/>
    <w:rsid w:val="005C3D40"/>
    <w:rsid w:val="005C40A0"/>
    <w:rsid w:val="005C5A2B"/>
    <w:rsid w:val="005C6952"/>
    <w:rsid w:val="005D1C55"/>
    <w:rsid w:val="005D2FEF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5DC"/>
    <w:rsid w:val="006058D8"/>
    <w:rsid w:val="00605C0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7B2"/>
    <w:rsid w:val="006D4BDE"/>
    <w:rsid w:val="006D7D35"/>
    <w:rsid w:val="006E1CF5"/>
    <w:rsid w:val="006E427F"/>
    <w:rsid w:val="006E4A73"/>
    <w:rsid w:val="006E5F18"/>
    <w:rsid w:val="006E683D"/>
    <w:rsid w:val="006E76AB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633"/>
    <w:rsid w:val="00722BC5"/>
    <w:rsid w:val="007246C9"/>
    <w:rsid w:val="00724FD5"/>
    <w:rsid w:val="00727F00"/>
    <w:rsid w:val="00731F57"/>
    <w:rsid w:val="00732D58"/>
    <w:rsid w:val="0073448E"/>
    <w:rsid w:val="00734A51"/>
    <w:rsid w:val="00734FF4"/>
    <w:rsid w:val="00737CDB"/>
    <w:rsid w:val="007411C4"/>
    <w:rsid w:val="00744679"/>
    <w:rsid w:val="00747C28"/>
    <w:rsid w:val="007504AE"/>
    <w:rsid w:val="007559A0"/>
    <w:rsid w:val="00756737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555"/>
    <w:rsid w:val="0077566E"/>
    <w:rsid w:val="00775AF0"/>
    <w:rsid w:val="007779C1"/>
    <w:rsid w:val="007805CD"/>
    <w:rsid w:val="00782927"/>
    <w:rsid w:val="007905C5"/>
    <w:rsid w:val="007914AB"/>
    <w:rsid w:val="00791981"/>
    <w:rsid w:val="00793723"/>
    <w:rsid w:val="007941A5"/>
    <w:rsid w:val="007943F6"/>
    <w:rsid w:val="007945A6"/>
    <w:rsid w:val="007970D7"/>
    <w:rsid w:val="00797DE8"/>
    <w:rsid w:val="007A18E8"/>
    <w:rsid w:val="007A3022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0F"/>
    <w:rsid w:val="007D77EF"/>
    <w:rsid w:val="007E03CE"/>
    <w:rsid w:val="007E1265"/>
    <w:rsid w:val="007E4C88"/>
    <w:rsid w:val="007E570B"/>
    <w:rsid w:val="007E6711"/>
    <w:rsid w:val="007F17C5"/>
    <w:rsid w:val="007F1ABD"/>
    <w:rsid w:val="007F2257"/>
    <w:rsid w:val="007F3F7E"/>
    <w:rsid w:val="007F5506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6C33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2B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0CAD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8A0"/>
    <w:rsid w:val="008F194F"/>
    <w:rsid w:val="008F2B5B"/>
    <w:rsid w:val="008F2B99"/>
    <w:rsid w:val="008F55DE"/>
    <w:rsid w:val="008F74DF"/>
    <w:rsid w:val="00903350"/>
    <w:rsid w:val="00903F42"/>
    <w:rsid w:val="00903F5B"/>
    <w:rsid w:val="009059A8"/>
    <w:rsid w:val="00911397"/>
    <w:rsid w:val="00911B88"/>
    <w:rsid w:val="009156EC"/>
    <w:rsid w:val="00920057"/>
    <w:rsid w:val="00920D7D"/>
    <w:rsid w:val="00921018"/>
    <w:rsid w:val="009217B4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055"/>
    <w:rsid w:val="00941B6B"/>
    <w:rsid w:val="00942488"/>
    <w:rsid w:val="00942D2C"/>
    <w:rsid w:val="009438A1"/>
    <w:rsid w:val="00943FA9"/>
    <w:rsid w:val="00944FA6"/>
    <w:rsid w:val="009459E2"/>
    <w:rsid w:val="00950FF3"/>
    <w:rsid w:val="0095195D"/>
    <w:rsid w:val="00952105"/>
    <w:rsid w:val="009564FC"/>
    <w:rsid w:val="0095727C"/>
    <w:rsid w:val="0096008A"/>
    <w:rsid w:val="009604C2"/>
    <w:rsid w:val="00964281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0C49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96D"/>
    <w:rsid w:val="009D2CE0"/>
    <w:rsid w:val="009D5429"/>
    <w:rsid w:val="009D56EF"/>
    <w:rsid w:val="009D6025"/>
    <w:rsid w:val="009D769C"/>
    <w:rsid w:val="009E0D0E"/>
    <w:rsid w:val="009E1B2D"/>
    <w:rsid w:val="009E2280"/>
    <w:rsid w:val="009E276D"/>
    <w:rsid w:val="009E293B"/>
    <w:rsid w:val="009E3507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3F3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9783A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1D9"/>
    <w:rsid w:val="00AE475C"/>
    <w:rsid w:val="00AE4CE2"/>
    <w:rsid w:val="00AE4E45"/>
    <w:rsid w:val="00AF269E"/>
    <w:rsid w:val="00AF5974"/>
    <w:rsid w:val="00AF611B"/>
    <w:rsid w:val="00AF721D"/>
    <w:rsid w:val="00B012C3"/>
    <w:rsid w:val="00B01E0E"/>
    <w:rsid w:val="00B03A77"/>
    <w:rsid w:val="00B03BF7"/>
    <w:rsid w:val="00B04710"/>
    <w:rsid w:val="00B0523F"/>
    <w:rsid w:val="00B11325"/>
    <w:rsid w:val="00B13C17"/>
    <w:rsid w:val="00B14DED"/>
    <w:rsid w:val="00B1538F"/>
    <w:rsid w:val="00B15C81"/>
    <w:rsid w:val="00B162F6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5891"/>
    <w:rsid w:val="00B35B3F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7761E"/>
    <w:rsid w:val="00B82BAF"/>
    <w:rsid w:val="00B83979"/>
    <w:rsid w:val="00B84541"/>
    <w:rsid w:val="00B86386"/>
    <w:rsid w:val="00B86985"/>
    <w:rsid w:val="00B87012"/>
    <w:rsid w:val="00B877FA"/>
    <w:rsid w:val="00B92212"/>
    <w:rsid w:val="00B932DF"/>
    <w:rsid w:val="00B94590"/>
    <w:rsid w:val="00B951BA"/>
    <w:rsid w:val="00BA0264"/>
    <w:rsid w:val="00BA030C"/>
    <w:rsid w:val="00BA266F"/>
    <w:rsid w:val="00BA2FBC"/>
    <w:rsid w:val="00BA438A"/>
    <w:rsid w:val="00BA46FD"/>
    <w:rsid w:val="00BA4C0A"/>
    <w:rsid w:val="00BA5903"/>
    <w:rsid w:val="00BA6345"/>
    <w:rsid w:val="00BA6E4B"/>
    <w:rsid w:val="00BA7E01"/>
    <w:rsid w:val="00BB2586"/>
    <w:rsid w:val="00BB2E04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6F1F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52E"/>
    <w:rsid w:val="00C40775"/>
    <w:rsid w:val="00C467C8"/>
    <w:rsid w:val="00C467F6"/>
    <w:rsid w:val="00C469B7"/>
    <w:rsid w:val="00C5074C"/>
    <w:rsid w:val="00C5372D"/>
    <w:rsid w:val="00C55B7E"/>
    <w:rsid w:val="00C56E5D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E1C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27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180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4D70"/>
    <w:rsid w:val="00D15A57"/>
    <w:rsid w:val="00D15B87"/>
    <w:rsid w:val="00D16ED6"/>
    <w:rsid w:val="00D16F91"/>
    <w:rsid w:val="00D22955"/>
    <w:rsid w:val="00D24468"/>
    <w:rsid w:val="00D246FA"/>
    <w:rsid w:val="00D27EB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56C98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33B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0C07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BAD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317E"/>
    <w:rsid w:val="00E54B27"/>
    <w:rsid w:val="00E57A0D"/>
    <w:rsid w:val="00E62AAB"/>
    <w:rsid w:val="00E63D94"/>
    <w:rsid w:val="00E651CF"/>
    <w:rsid w:val="00E65C25"/>
    <w:rsid w:val="00E66E4F"/>
    <w:rsid w:val="00E670E2"/>
    <w:rsid w:val="00E71094"/>
    <w:rsid w:val="00E72A87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6631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F1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489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0C59"/>
    <w:rsid w:val="00F71207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3B3D"/>
    <w:rsid w:val="00FA626B"/>
    <w:rsid w:val="00FA659E"/>
    <w:rsid w:val="00FB037F"/>
    <w:rsid w:val="00FB11E2"/>
    <w:rsid w:val="00FB13C0"/>
    <w:rsid w:val="00FB2802"/>
    <w:rsid w:val="00FB4B6F"/>
    <w:rsid w:val="00FB70EE"/>
    <w:rsid w:val="00FB7958"/>
    <w:rsid w:val="00FC085C"/>
    <w:rsid w:val="00FC150E"/>
    <w:rsid w:val="00FC1D8A"/>
    <w:rsid w:val="00FC241B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E7BCA"/>
    <w:rsid w:val="00FF0905"/>
    <w:rsid w:val="00FF1C78"/>
    <w:rsid w:val="00FF2647"/>
    <w:rsid w:val="00FF30BA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5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775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1.rian.ru/ig/ratings/ban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AB8B-3891-4E8E-84AE-E2EE40E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5512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Борщевич Марина Андреевна</cp:lastModifiedBy>
  <cp:revision>19</cp:revision>
  <cp:lastPrinted>2021-06-24T12:42:00Z</cp:lastPrinted>
  <dcterms:created xsi:type="dcterms:W3CDTF">2022-01-27T14:50:00Z</dcterms:created>
  <dcterms:modified xsi:type="dcterms:W3CDTF">2022-02-28T15:01:00Z</dcterms:modified>
</cp:coreProperties>
</file>