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ДОГОВОР О ЗАДАТКЕ</w:t>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г. Бологое                                                                                          «___»___________ 20___ г.</w:t>
      </w:r>
    </w:p>
    <w:p w:rsidR="00000000" w:rsidDel="00000000" w:rsidP="00000000" w:rsidRDefault="00000000" w:rsidRPr="00000000" w14:paraId="00000004">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ageBreakBefore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Финансовый управляющий в деле о банкротстве Городничева Ильи Николаевича Криксин Фёдор Игоревич (ИНН 772465206700, регистрационный номер 13312, СНИЛС 128-543-892-86, fedor@kriksin.ru; т.:(495)6423825), член САУ «Авангард» (105062, г. Москва, ул. Макаренко, д. 5, стр. 1, офис 3, ИНН 7705479434, ОГРН 1027705031320), действующий на основании решения Арбитражного суда Московской области от 13.08.2020 г. по делу №А41-32693/20, сообщает о проведении торгов в форме аукциона, открытого по составу участников, по продаже имущества Городничева Ильи Николаевича (22.05.1988 г.р., место рождения: с. Загорские дали Загорского р-на Московской обл., ИНН 504223822157, СНИЛС 136-417-703 55, адрес регистрации: 141367, Московская область, Сергиево-Посадский р-н., посёлок Загорские дали, д. 1, кв. 41, процедура реализации имущества введена решением Арбитражного суда Московской области от 13.08.2020 г. по делу №А41-32693/20) </w:t>
      </w:r>
      <w:r w:rsidDel="00000000" w:rsidR="00000000" w:rsidRPr="00000000">
        <w:rPr>
          <w:rFonts w:ascii="Calibri" w:cs="Calibri" w:eastAsia="Calibri" w:hAnsi="Calibri"/>
          <w:sz w:val="24"/>
          <w:szCs w:val="24"/>
          <w:rtl w:val="0"/>
        </w:rPr>
        <w:t xml:space="preserve">, с одной стороны и</w:t>
      </w:r>
    </w:p>
    <w:p w:rsidR="00000000" w:rsidDel="00000000" w:rsidP="00000000" w:rsidRDefault="00000000" w:rsidRPr="00000000" w14:paraId="00000006">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 именуем___ в дальнейшем «</w:t>
      </w:r>
      <w:r w:rsidDel="00000000" w:rsidR="00000000" w:rsidRPr="00000000">
        <w:rPr>
          <w:rFonts w:ascii="Calibri" w:cs="Calibri" w:eastAsia="Calibri" w:hAnsi="Calibri"/>
          <w:b w:val="1"/>
          <w:sz w:val="24"/>
          <w:szCs w:val="24"/>
          <w:rtl w:val="0"/>
        </w:rPr>
        <w:t xml:space="preserve">Заявитель</w:t>
      </w:r>
      <w:r w:rsidDel="00000000" w:rsidR="00000000" w:rsidRPr="00000000">
        <w:rPr>
          <w:rFonts w:ascii="Calibri" w:cs="Calibri" w:eastAsia="Calibri" w:hAnsi="Calibri"/>
          <w:sz w:val="24"/>
          <w:szCs w:val="24"/>
          <w:rtl w:val="0"/>
        </w:rPr>
        <w:t xml:space="preserve">», с другой стороны, совместно именуемые «</w:t>
      </w:r>
      <w:r w:rsidDel="00000000" w:rsidR="00000000" w:rsidRPr="00000000">
        <w:rPr>
          <w:rFonts w:ascii="Calibri" w:cs="Calibri" w:eastAsia="Calibri" w:hAnsi="Calibri"/>
          <w:b w:val="1"/>
          <w:sz w:val="24"/>
          <w:szCs w:val="24"/>
          <w:rtl w:val="0"/>
        </w:rPr>
        <w:t xml:space="preserve">Стороны</w:t>
      </w:r>
      <w:r w:rsidDel="00000000" w:rsidR="00000000" w:rsidRPr="00000000">
        <w:rPr>
          <w:rFonts w:ascii="Calibri" w:cs="Calibri" w:eastAsia="Calibri" w:hAnsi="Calibri"/>
          <w:sz w:val="24"/>
          <w:szCs w:val="24"/>
          <w:rtl w:val="0"/>
        </w:rPr>
        <w:t xml:space="preserve">», заключили настоящий договор о нижеследующем:</w:t>
      </w:r>
    </w:p>
    <w:p w:rsidR="00000000" w:rsidDel="00000000" w:rsidP="00000000" w:rsidRDefault="00000000" w:rsidRPr="00000000" w14:paraId="00000007">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Предмет договора</w:t>
      </w:r>
    </w:p>
    <w:p w:rsidR="00000000" w:rsidDel="00000000" w:rsidP="00000000" w:rsidRDefault="00000000" w:rsidRPr="00000000" w14:paraId="00000009">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w:t>
      </w:r>
      <w:r w:rsidDel="00000000" w:rsidR="00000000" w:rsidRPr="00000000">
        <w:rPr>
          <w:rFonts w:ascii="Calibri" w:cs="Calibri" w:eastAsia="Calibri" w:hAnsi="Calibri"/>
          <w:b w:val="1"/>
          <w:sz w:val="24"/>
          <w:szCs w:val="24"/>
          <w:rtl w:val="0"/>
        </w:rPr>
        <w:t xml:space="preserve">Заявитель</w:t>
      </w:r>
      <w:r w:rsidDel="00000000" w:rsidR="00000000" w:rsidRPr="00000000">
        <w:rPr>
          <w:rFonts w:ascii="Calibri" w:cs="Calibri" w:eastAsia="Calibri" w:hAnsi="Calibri"/>
          <w:sz w:val="24"/>
          <w:szCs w:val="24"/>
          <w:rtl w:val="0"/>
        </w:rPr>
        <w:t xml:space="preserve"> для участия в открытых электронных торгах по продаже имущества Городничева Ильи Николаевича, лот №___, проводимых в форме ________ на электронной площадке «Российский аукционный дом» по адресу в сети Интернет http://www.lot-online.ru, вносит задаток в размере 10,00% от начальной цены продажи имущества или _______________ (___________________) рублей по реквизитам: </w:t>
      </w:r>
    </w:p>
    <w:p w:rsidR="00000000" w:rsidDel="00000000" w:rsidP="00000000" w:rsidRDefault="00000000" w:rsidRPr="00000000" w14:paraId="0000000B">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получатель Городничев Илья Николаевич, ИНН 504223822157, расч. счет. 40817810738123550510 в ПАО Сбербанк, БИК 044525225, корр. счет 30101810400000000225   назначение платежа: перечисление задатка на участие в торгах по продаже имущества Городничева И.Н., лот № ___.</w:t>
      </w:r>
    </w:p>
    <w:p w:rsidR="00000000" w:rsidDel="00000000" w:rsidP="00000000" w:rsidRDefault="00000000" w:rsidRPr="00000000" w14:paraId="0000000C">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Задаток вносится </w:t>
      </w:r>
      <w:r w:rsidDel="00000000" w:rsidR="00000000" w:rsidRPr="00000000">
        <w:rPr>
          <w:rFonts w:ascii="Calibri" w:cs="Calibri" w:eastAsia="Calibri" w:hAnsi="Calibri"/>
          <w:b w:val="1"/>
          <w:sz w:val="24"/>
          <w:szCs w:val="24"/>
          <w:rtl w:val="0"/>
        </w:rPr>
        <w:t xml:space="preserve">Заявителем</w:t>
      </w:r>
      <w:r w:rsidDel="00000000" w:rsidR="00000000" w:rsidRPr="00000000">
        <w:rPr>
          <w:rFonts w:ascii="Calibri" w:cs="Calibri" w:eastAsia="Calibri" w:hAnsi="Calibri"/>
          <w:sz w:val="24"/>
          <w:szCs w:val="24"/>
          <w:rtl w:val="0"/>
        </w:rPr>
        <w:t xml:space="preserve"> в качестве обеспечения исполнения обязательств по оплате продаваемого на торгах имуществом Городничева И.Н..</w:t>
      </w:r>
    </w:p>
    <w:p w:rsidR="00000000" w:rsidDel="00000000" w:rsidP="00000000" w:rsidRDefault="00000000" w:rsidRPr="00000000" w14:paraId="0000000E">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Порядок внесения, возврата и удержания задатка</w:t>
      </w:r>
    </w:p>
    <w:p w:rsidR="00000000" w:rsidDel="00000000" w:rsidP="00000000" w:rsidRDefault="00000000" w:rsidRPr="00000000" w14:paraId="00000010">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ageBreakBefore w:val="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2.1. Задаток перечисляется </w:t>
      </w:r>
      <w:r w:rsidDel="00000000" w:rsidR="00000000" w:rsidRPr="00000000">
        <w:rPr>
          <w:rFonts w:ascii="Calibri" w:cs="Calibri" w:eastAsia="Calibri" w:hAnsi="Calibri"/>
          <w:b w:val="1"/>
          <w:sz w:val="24"/>
          <w:szCs w:val="24"/>
          <w:rtl w:val="0"/>
        </w:rPr>
        <w:t xml:space="preserve">Заявителем</w:t>
      </w:r>
      <w:r w:rsidDel="00000000" w:rsidR="00000000" w:rsidRPr="00000000">
        <w:rPr>
          <w:rFonts w:ascii="Calibri" w:cs="Calibri" w:eastAsia="Calibri" w:hAnsi="Calibri"/>
          <w:sz w:val="24"/>
          <w:szCs w:val="24"/>
          <w:rtl w:val="0"/>
        </w:rPr>
        <w:t xml:space="preserve"> в течение всего срока приема заявок на участие в торгах по продаже имуществом Городничева И.Н.</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12">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Задаток считается внесенным с момента его зачисления банком в полном объеме на вышеуказанный счет, но не позднее даты и времени окончания приема заявок. Обязательства </w:t>
      </w:r>
      <w:r w:rsidDel="00000000" w:rsidR="00000000" w:rsidRPr="00000000">
        <w:rPr>
          <w:rFonts w:ascii="Calibri" w:cs="Calibri" w:eastAsia="Calibri" w:hAnsi="Calibri"/>
          <w:b w:val="1"/>
          <w:sz w:val="24"/>
          <w:szCs w:val="24"/>
          <w:rtl w:val="0"/>
        </w:rPr>
        <w:t xml:space="preserve">Заявителя</w:t>
      </w:r>
      <w:r w:rsidDel="00000000" w:rsidR="00000000" w:rsidRPr="00000000">
        <w:rPr>
          <w:rFonts w:ascii="Calibri" w:cs="Calibri" w:eastAsia="Calibri" w:hAnsi="Calibri"/>
          <w:sz w:val="24"/>
          <w:szCs w:val="24"/>
          <w:rtl w:val="0"/>
        </w:rPr>
        <w:t xml:space="preserve"> по внесению задатка считаются неисполненными, если поступление всей суммы задатка на вышеуказанный счет не подтверждено по состоянию на дату и время окончания приема заявок.</w:t>
      </w:r>
    </w:p>
    <w:p w:rsidR="00000000" w:rsidDel="00000000" w:rsidP="00000000" w:rsidRDefault="00000000" w:rsidRPr="00000000" w14:paraId="00000013">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Задаток возвращается </w:t>
      </w:r>
      <w:r w:rsidDel="00000000" w:rsidR="00000000" w:rsidRPr="00000000">
        <w:rPr>
          <w:rFonts w:ascii="Calibri" w:cs="Calibri" w:eastAsia="Calibri" w:hAnsi="Calibri"/>
          <w:b w:val="1"/>
          <w:sz w:val="24"/>
          <w:szCs w:val="24"/>
          <w:rtl w:val="0"/>
        </w:rPr>
        <w:t xml:space="preserve">Заявителю</w:t>
      </w:r>
      <w:r w:rsidDel="00000000" w:rsidR="00000000" w:rsidRPr="00000000">
        <w:rPr>
          <w:rFonts w:ascii="Calibri" w:cs="Calibri" w:eastAsia="Calibri" w:hAnsi="Calibri"/>
          <w:sz w:val="24"/>
          <w:szCs w:val="24"/>
          <w:rtl w:val="0"/>
        </w:rPr>
        <w:t xml:space="preserve"> в следующих случаях:</w:t>
      </w:r>
    </w:p>
    <w:p w:rsidR="00000000" w:rsidDel="00000000" w:rsidP="00000000" w:rsidRDefault="00000000" w:rsidRPr="00000000" w14:paraId="00000015">
      <w:pPr>
        <w:pageBreakBefore w:val="0"/>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при отзыве заявки до даты и времени окончания приема заявок;</w:t>
      </w: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в случае отклонения заявки с прилагаемыми к ней документами по причине несоответствия требованиям, указанным в сообщении о проведении торгов;</w:t>
      </w: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в случае непоступления всей суммы задатка в сроки, указанные в сообщении о проведении торгов. </w:t>
      </w:r>
      <w:r w:rsidDel="00000000" w:rsidR="00000000" w:rsidRPr="00000000">
        <w:rPr>
          <w:rtl w:val="0"/>
        </w:rPr>
      </w:r>
    </w:p>
    <w:p w:rsidR="00000000" w:rsidDel="00000000" w:rsidP="00000000" w:rsidRDefault="00000000" w:rsidRPr="00000000" w14:paraId="00000018">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Задаток возвращается всем </w:t>
      </w:r>
      <w:r w:rsidDel="00000000" w:rsidR="00000000" w:rsidRPr="00000000">
        <w:rPr>
          <w:rFonts w:ascii="Calibri" w:cs="Calibri" w:eastAsia="Calibri" w:hAnsi="Calibri"/>
          <w:b w:val="1"/>
          <w:sz w:val="24"/>
          <w:szCs w:val="24"/>
          <w:rtl w:val="0"/>
        </w:rPr>
        <w:t xml:space="preserve">Заявителям</w:t>
      </w:r>
      <w:r w:rsidDel="00000000" w:rsidR="00000000" w:rsidRPr="00000000">
        <w:rPr>
          <w:rFonts w:ascii="Calibri" w:cs="Calibri" w:eastAsia="Calibri" w:hAnsi="Calibri"/>
          <w:sz w:val="24"/>
          <w:szCs w:val="24"/>
          <w:rtl w:val="0"/>
        </w:rPr>
        <w:t xml:space="preserve">, допущенным к участию в торгах и признанным участниками торгов, за исключением победителя торгов, в течение пяти рабочих дней со дня подписания протокола о результатах проведения торгов.</w:t>
      </w:r>
    </w:p>
    <w:p w:rsidR="00000000" w:rsidDel="00000000" w:rsidP="00000000" w:rsidRDefault="00000000" w:rsidRPr="00000000" w14:paraId="00000019">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Задаток возвращается путем перечисления полученных сумм на расчетный счет, с которого ранее была произведена его оплата. </w:t>
      </w:r>
      <w:r w:rsidDel="00000000" w:rsidR="00000000" w:rsidRPr="00000000">
        <w:rPr>
          <w:rFonts w:ascii="Calibri" w:cs="Calibri" w:eastAsia="Calibri" w:hAnsi="Calibri"/>
          <w:b w:val="1"/>
          <w:sz w:val="24"/>
          <w:szCs w:val="24"/>
          <w:rtl w:val="0"/>
        </w:rPr>
        <w:t xml:space="preserve">Организатор торгов, арбитражный управляющий</w:t>
      </w:r>
      <w:r w:rsidDel="00000000" w:rsidR="00000000" w:rsidRPr="00000000">
        <w:rPr>
          <w:rFonts w:ascii="Calibri" w:cs="Calibri" w:eastAsia="Calibri" w:hAnsi="Calibri"/>
          <w:sz w:val="24"/>
          <w:szCs w:val="24"/>
          <w:rtl w:val="0"/>
        </w:rPr>
        <w:t xml:space="preserve"> не несут ответственности за несвоевременный возврат задатка при отсутствии, недостаточности, либо неверном указании реквизитов расчетного счета </w:t>
      </w:r>
      <w:r w:rsidDel="00000000" w:rsidR="00000000" w:rsidRPr="00000000">
        <w:rPr>
          <w:rFonts w:ascii="Calibri" w:cs="Calibri" w:eastAsia="Calibri" w:hAnsi="Calibri"/>
          <w:b w:val="1"/>
          <w:sz w:val="24"/>
          <w:szCs w:val="24"/>
          <w:rtl w:val="0"/>
        </w:rPr>
        <w:t xml:space="preserve">Заявителя</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 Задаток не возвращается в случае отказа или уклонения победителя торгов от подписания договора-купли продажи (цессии) в течение пяти дней с даты получения им предложения арбитражного управляющего о заключении договора купли-продажи (цессии).</w:t>
      </w:r>
    </w:p>
    <w:p w:rsidR="00000000" w:rsidDel="00000000" w:rsidP="00000000" w:rsidRDefault="00000000" w:rsidRPr="00000000" w14:paraId="0000001D">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 Сумма задатка, внесенного победителем торгов, засчитывается в счет оплаты приобретенного имущества.</w:t>
      </w:r>
    </w:p>
    <w:p w:rsidR="00000000" w:rsidDel="00000000" w:rsidP="00000000" w:rsidRDefault="00000000" w:rsidRPr="00000000" w14:paraId="0000001F">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 В случае непоступления или неполного поступления оплаты приобретенного имущества в 30-дневный срок после заключения договора купли-продажи (цессии) договор признается незаключенным, а внесенный задаток не возвращается. </w:t>
      </w:r>
    </w:p>
    <w:p w:rsidR="00000000" w:rsidDel="00000000" w:rsidP="00000000" w:rsidRDefault="00000000" w:rsidRPr="00000000" w14:paraId="00000021">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Другие условия договора</w:t>
      </w:r>
    </w:p>
    <w:p w:rsidR="00000000" w:rsidDel="00000000" w:rsidP="00000000" w:rsidRDefault="00000000" w:rsidRPr="00000000" w14:paraId="00000023">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3.1.Все споры и разногласия, связанные с исполнением договора о задатке, разрешаются в соответствии с действующим законодательством Российской Федерации по месту нахождения </w:t>
      </w:r>
      <w:r w:rsidDel="00000000" w:rsidR="00000000" w:rsidRPr="00000000">
        <w:rPr>
          <w:rFonts w:ascii="Calibri" w:cs="Calibri" w:eastAsia="Calibri" w:hAnsi="Calibri"/>
          <w:b w:val="1"/>
          <w:sz w:val="24"/>
          <w:szCs w:val="24"/>
          <w:rtl w:val="0"/>
        </w:rPr>
        <w:t xml:space="preserve">Организатора торгов</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5">
      <w:pPr>
        <w:pageBreakBefore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ageBreakBefore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Реквизиты и подписи сторон </w:t>
      </w:r>
      <w:r w:rsidDel="00000000" w:rsidR="00000000" w:rsidRPr="00000000">
        <w:rPr>
          <w:rtl w:val="0"/>
        </w:rPr>
      </w:r>
    </w:p>
    <w:tbl>
      <w:tblPr>
        <w:tblStyle w:val="Table1"/>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4680"/>
        <w:tblGridChange w:id="0">
          <w:tblGrid>
            <w:gridCol w:w="4665"/>
            <w:gridCol w:w="4680"/>
          </w:tblGrid>
        </w:tblGridChange>
      </w:tblGrid>
      <w:tr>
        <w:trPr>
          <w:cantSplit w:val="0"/>
          <w:tblHeader w:val="0"/>
        </w:trPr>
        <w:tc>
          <w:tcPr>
            <w:shd w:fill="auto" w:val="clear"/>
          </w:tcPr>
          <w:p w:rsidR="00000000" w:rsidDel="00000000" w:rsidP="00000000" w:rsidRDefault="00000000" w:rsidRPr="00000000" w14:paraId="00000027">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Организатор торгов</w:t>
            </w:r>
          </w:p>
        </w:tc>
        <w:tc>
          <w:tcPr>
            <w:shd w:fill="auto" w:val="clear"/>
          </w:tcPr>
          <w:p w:rsidR="00000000" w:rsidDel="00000000" w:rsidP="00000000" w:rsidRDefault="00000000" w:rsidRPr="00000000" w14:paraId="00000028">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Заявитель</w:t>
            </w:r>
          </w:p>
        </w:tc>
      </w:tr>
      <w:tr>
        <w:trPr>
          <w:cantSplit w:val="0"/>
          <w:tblHeader w:val="0"/>
        </w:trPr>
        <w:tc>
          <w:tcPr>
            <w:shd w:fill="auto" w:val="clear"/>
          </w:tcPr>
          <w:p w:rsidR="00000000" w:rsidDel="00000000" w:rsidP="00000000" w:rsidRDefault="00000000" w:rsidRPr="00000000" w14:paraId="00000029">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Городничева Ильи Николаевича Криксин Фёдор Игоревич </w:t>
            </w:r>
          </w:p>
          <w:p w:rsidR="00000000" w:rsidDel="00000000" w:rsidP="00000000" w:rsidRDefault="00000000" w:rsidRPr="00000000" w14:paraId="0000002A">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(ИНН 772465206700, регистрационный номер 13312, СНИЛС 128-543-892-86)</w:t>
            </w:r>
          </w:p>
          <w:p w:rsidR="00000000" w:rsidDel="00000000" w:rsidP="00000000" w:rsidRDefault="00000000" w:rsidRPr="00000000" w14:paraId="0000002B">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адрес для корреспонденции: </w:t>
            </w:r>
          </w:p>
          <w:p w:rsidR="00000000" w:rsidDel="00000000" w:rsidP="00000000" w:rsidRDefault="00000000" w:rsidRPr="00000000" w14:paraId="0000002C">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101000, г. Москва, а/я 713</w:t>
            </w:r>
          </w:p>
          <w:p w:rsidR="00000000" w:rsidDel="00000000" w:rsidP="00000000" w:rsidRDefault="00000000" w:rsidRPr="00000000" w14:paraId="0000002D">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Городничев Илья Николаевич, </w:t>
            </w:r>
          </w:p>
          <w:p w:rsidR="00000000" w:rsidDel="00000000" w:rsidP="00000000" w:rsidRDefault="00000000" w:rsidRPr="00000000" w14:paraId="0000002E">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ИНН 504223822157, </w:t>
            </w:r>
          </w:p>
          <w:p w:rsidR="00000000" w:rsidDel="00000000" w:rsidP="00000000" w:rsidRDefault="00000000" w:rsidRPr="00000000" w14:paraId="0000002F">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расч. счет. 40817810738123550510 </w:t>
            </w:r>
          </w:p>
          <w:p w:rsidR="00000000" w:rsidDel="00000000" w:rsidP="00000000" w:rsidRDefault="00000000" w:rsidRPr="00000000" w14:paraId="00000030">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в ПАО Сбербанк, </w:t>
            </w:r>
          </w:p>
          <w:p w:rsidR="00000000" w:rsidDel="00000000" w:rsidP="00000000" w:rsidRDefault="00000000" w:rsidRPr="00000000" w14:paraId="00000031">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БИК 044525225, </w:t>
            </w:r>
          </w:p>
          <w:p w:rsidR="00000000" w:rsidDel="00000000" w:rsidP="00000000" w:rsidRDefault="00000000" w:rsidRPr="00000000" w14:paraId="00000032">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корр. счет 30101810400000000225 </w:t>
            </w:r>
          </w:p>
          <w:p w:rsidR="00000000" w:rsidDel="00000000" w:rsidP="00000000" w:rsidRDefault="00000000" w:rsidRPr="00000000" w14:paraId="00000033">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 / Криксин Ф.И./</w:t>
            </w:r>
          </w:p>
        </w:tc>
        <w:tc>
          <w:tcPr>
            <w:shd w:fill="auto" w:val="clear"/>
          </w:tcPr>
          <w:p w:rsidR="00000000" w:rsidDel="00000000" w:rsidP="00000000" w:rsidRDefault="00000000" w:rsidRPr="00000000" w14:paraId="00000036">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pageBreakBefore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 /______________________/</w:t>
            </w:r>
          </w:p>
          <w:p w:rsidR="00000000" w:rsidDel="00000000" w:rsidP="00000000" w:rsidRDefault="00000000" w:rsidRPr="00000000" w14:paraId="00000045">
            <w:pPr>
              <w:pageBreakBefore w:val="0"/>
              <w:jc w:val="both"/>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6">
      <w:pPr>
        <w:pageBreakBefore w:val="0"/>
        <w:jc w:val="both"/>
        <w:rPr>
          <w:rFonts w:ascii="Calibri" w:cs="Calibri" w:eastAsia="Calibri" w:hAnsi="Calibri"/>
          <w:sz w:val="24"/>
          <w:szCs w:val="24"/>
        </w:rPr>
      </w:pPr>
      <w:r w:rsidDel="00000000" w:rsidR="00000000" w:rsidRPr="00000000">
        <w:rPr>
          <w:rtl w:val="0"/>
        </w:rPr>
      </w:r>
    </w:p>
    <w:sectPr>
      <w:headerReference r:id="rId6" w:type="default"/>
      <w:headerReference r:id="rId7" w:type="even"/>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