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9A3A" w14:textId="0874FAD8" w:rsidR="00854DC7" w:rsidRPr="00F30D8B" w:rsidRDefault="00854DC7" w:rsidP="00854DC7">
      <w:pPr>
        <w:jc w:val="both"/>
        <w:outlineLvl w:val="0"/>
        <w:rPr>
          <w:b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недвижимого имущества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0338C8">
        <w:rPr>
          <w:b/>
          <w:bCs/>
        </w:rPr>
        <w:t>А</w:t>
      </w:r>
      <w:r>
        <w:rPr>
          <w:b/>
          <w:bCs/>
        </w:rPr>
        <w:t xml:space="preserve">О </w:t>
      </w:r>
      <w:r w:rsidR="00EC1C9A">
        <w:rPr>
          <w:b/>
          <w:bCs/>
        </w:rPr>
        <w:t>«</w:t>
      </w:r>
      <w:proofErr w:type="spellStart"/>
      <w:r w:rsidR="000338C8" w:rsidRPr="000338C8">
        <w:rPr>
          <w:b/>
          <w:bCs/>
        </w:rPr>
        <w:t>Промгражданстрой</w:t>
      </w:r>
      <w:proofErr w:type="spellEnd"/>
      <w:r>
        <w:rPr>
          <w:b/>
          <w:bCs/>
        </w:rPr>
        <w:t>»</w:t>
      </w:r>
    </w:p>
    <w:p w14:paraId="31C5750B" w14:textId="77777777" w:rsidR="00854DC7" w:rsidRDefault="00854DC7" w:rsidP="00854DC7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7F27F5E4" w14:textId="7C539DE9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6543E0">
        <w:rPr>
          <w:rFonts w:eastAsia="Times New Roman"/>
          <w:b/>
          <w:bCs/>
          <w:color w:val="0070C0"/>
        </w:rPr>
        <w:t>16</w:t>
      </w:r>
      <w:r w:rsidR="00BB6EE7">
        <w:rPr>
          <w:rFonts w:eastAsia="Times New Roman"/>
          <w:b/>
          <w:bCs/>
          <w:color w:val="0070C0"/>
        </w:rPr>
        <w:t xml:space="preserve"> </w:t>
      </w:r>
      <w:r w:rsidR="006543E0">
        <w:rPr>
          <w:rFonts w:eastAsia="Times New Roman"/>
          <w:b/>
          <w:bCs/>
          <w:color w:val="0070C0"/>
        </w:rPr>
        <w:t>августа</w:t>
      </w:r>
      <w:r w:rsidR="00E423E5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0338C8">
        <w:rPr>
          <w:rFonts w:eastAsia="Times New Roman"/>
          <w:b/>
          <w:bCs/>
          <w:color w:val="0070C0"/>
        </w:rPr>
        <w:t>2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E423E5">
        <w:rPr>
          <w:rFonts w:eastAsia="Times New Roman"/>
          <w:b/>
          <w:bCs/>
          <w:color w:val="0070C0"/>
        </w:rPr>
        <w:t>6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6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5B492967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6543E0">
        <w:rPr>
          <w:b/>
          <w:bCs/>
          <w:color w:val="0070C0"/>
        </w:rPr>
        <w:t>11</w:t>
      </w:r>
      <w:r w:rsidR="00BB6EE7">
        <w:rPr>
          <w:b/>
          <w:bCs/>
          <w:color w:val="0070C0"/>
        </w:rPr>
        <w:t xml:space="preserve"> </w:t>
      </w:r>
      <w:r w:rsidR="006543E0">
        <w:rPr>
          <w:b/>
          <w:bCs/>
          <w:color w:val="0070C0"/>
        </w:rPr>
        <w:t xml:space="preserve">июля </w:t>
      </w:r>
      <w:r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>2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6543E0">
        <w:rPr>
          <w:b/>
          <w:bCs/>
          <w:color w:val="0070C0"/>
        </w:rPr>
        <w:t>12</w:t>
      </w:r>
      <w:r w:rsidR="000338C8">
        <w:rPr>
          <w:b/>
          <w:bCs/>
          <w:color w:val="0070C0"/>
        </w:rPr>
        <w:t xml:space="preserve"> </w:t>
      </w:r>
      <w:r w:rsidR="006543E0">
        <w:rPr>
          <w:b/>
          <w:bCs/>
          <w:color w:val="0070C0"/>
        </w:rPr>
        <w:t xml:space="preserve">августа </w:t>
      </w:r>
      <w:r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>2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E423E5">
        <w:rPr>
          <w:b/>
          <w:bCs/>
          <w:color w:val="0070C0"/>
        </w:rPr>
        <w:t>6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41B2C2B8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Организатора торгов не позднее </w:t>
      </w:r>
      <w:r w:rsidRPr="00011C6B">
        <w:rPr>
          <w:b/>
          <w:bCs/>
          <w:color w:val="0070C0"/>
        </w:rPr>
        <w:t>0</w:t>
      </w:r>
      <w:r w:rsidR="00E423E5" w:rsidRPr="00011C6B">
        <w:rPr>
          <w:b/>
          <w:bCs/>
          <w:color w:val="0070C0"/>
        </w:rPr>
        <w:t>6</w:t>
      </w:r>
      <w:r w:rsidRPr="00011C6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6543E0">
        <w:rPr>
          <w:b/>
          <w:bCs/>
          <w:color w:val="0070C0"/>
        </w:rPr>
        <w:t>12 августа</w:t>
      </w:r>
      <w:r w:rsidR="006543E0" w:rsidRPr="00BB6EE7">
        <w:rPr>
          <w:b/>
          <w:bCs/>
          <w:color w:val="0070C0"/>
        </w:rPr>
        <w:t xml:space="preserve"> </w:t>
      </w:r>
      <w:r w:rsidR="00E423E5" w:rsidRPr="00BB6EE7">
        <w:rPr>
          <w:b/>
          <w:bCs/>
          <w:color w:val="0070C0"/>
        </w:rPr>
        <w:t>202</w:t>
      </w:r>
      <w:r w:rsidR="00E423E5">
        <w:rPr>
          <w:b/>
          <w:bCs/>
          <w:color w:val="0070C0"/>
        </w:rPr>
        <w:t xml:space="preserve">2 </w:t>
      </w:r>
      <w:bookmarkEnd w:id="0"/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4D4FC505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Pr="00A40D10">
        <w:rPr>
          <w:b/>
          <w:bCs/>
        </w:rPr>
        <w:t>1</w:t>
      </w:r>
      <w:r w:rsidR="00E423E5">
        <w:rPr>
          <w:b/>
          <w:bCs/>
        </w:rPr>
        <w:t>1</w:t>
      </w:r>
      <w:r w:rsidRPr="00A40D10">
        <w:rPr>
          <w:b/>
          <w:bCs/>
        </w:rPr>
        <w:t xml:space="preserve">:00 (МСК) </w:t>
      </w:r>
      <w:r w:rsidR="006543E0">
        <w:rPr>
          <w:b/>
          <w:bCs/>
          <w:color w:val="0070C0"/>
        </w:rPr>
        <w:t>12 августа</w:t>
      </w:r>
      <w:r w:rsidR="006543E0" w:rsidRPr="00BB6EE7">
        <w:rPr>
          <w:b/>
          <w:bCs/>
          <w:color w:val="0070C0"/>
        </w:rPr>
        <w:t xml:space="preserve"> </w:t>
      </w:r>
      <w:r w:rsidR="00E423E5" w:rsidRPr="00BB6EE7">
        <w:rPr>
          <w:b/>
          <w:bCs/>
          <w:color w:val="0070C0"/>
        </w:rPr>
        <w:t>202</w:t>
      </w:r>
      <w:r w:rsidR="00E423E5">
        <w:rPr>
          <w:b/>
          <w:bCs/>
          <w:color w:val="0070C0"/>
        </w:rPr>
        <w:t xml:space="preserve">2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78867161" w14:textId="61BAC559" w:rsidR="00E423E5" w:rsidRPr="00DE7CB9" w:rsidRDefault="00E423E5" w:rsidP="00E423E5">
      <w:pPr>
        <w:ind w:firstLine="720"/>
        <w:jc w:val="both"/>
        <w:rPr>
          <w:rFonts w:eastAsia="Times New Roman"/>
        </w:rPr>
      </w:pPr>
      <w:bookmarkStart w:id="1" w:name="_Hlk103256935"/>
      <w:r w:rsidRPr="00DE7CB9">
        <w:rPr>
          <w:rFonts w:eastAsia="Times New Roman"/>
        </w:rPr>
        <w:t>Ознакомление с предметом торгов осуществляется в рабочие дни</w:t>
      </w:r>
      <w:r w:rsidR="005E675D">
        <w:rPr>
          <w:rFonts w:eastAsia="Times New Roman"/>
        </w:rPr>
        <w:t xml:space="preserve"> с 9 до 17 ч (время МСК +7 ч.)</w:t>
      </w:r>
      <w:r w:rsidRPr="00DE7CB9">
        <w:rPr>
          <w:rFonts w:eastAsia="Times New Roman"/>
        </w:rPr>
        <w:t xml:space="preserve"> по предварительной записи по тел. </w:t>
      </w:r>
      <w:r>
        <w:rPr>
          <w:color w:val="000000"/>
        </w:rPr>
        <w:t xml:space="preserve">+7 (924) 003-13-12, </w:t>
      </w:r>
      <w:r>
        <w:rPr>
          <w:rFonts w:eastAsia="Times New Roman"/>
        </w:rPr>
        <w:t>8 (812) 777-57-57, доб 516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7" w:history="1">
        <w:r w:rsidR="00E910EE" w:rsidRPr="004A43AA">
          <w:rPr>
            <w:rStyle w:val="afb"/>
            <w:rFonts w:eastAsia="Times New Roman"/>
            <w:lang w:val="en-US"/>
          </w:rPr>
          <w:t>dv</w:t>
        </w:r>
        <w:r w:rsidR="00E910EE" w:rsidRPr="004A43AA">
          <w:rPr>
            <w:rStyle w:val="afb"/>
            <w:rFonts w:eastAsia="Times New Roman"/>
          </w:rPr>
          <w:t>@auction-house.ru</w:t>
        </w:r>
      </w:hyperlink>
      <w:r>
        <w:rPr>
          <w:rFonts w:eastAsia="Times New Roman"/>
        </w:rPr>
        <w:t>.</w:t>
      </w:r>
      <w:r w:rsidR="00E910EE">
        <w:rPr>
          <w:rFonts w:eastAsia="Times New Roman"/>
        </w:rPr>
        <w:t xml:space="preserve"> Контактное лицо по осмотру </w:t>
      </w:r>
      <w:r w:rsidR="00E910EE" w:rsidRPr="00E910EE">
        <w:rPr>
          <w:rFonts w:eastAsia="Times New Roman"/>
        </w:rPr>
        <w:t>Цыремпилов Юрий Федорович, +7 924 010 15 35</w:t>
      </w:r>
      <w:r w:rsidR="00E910EE">
        <w:rPr>
          <w:rFonts w:eastAsia="Times New Roman"/>
        </w:rPr>
        <w:t>.</w:t>
      </w:r>
    </w:p>
    <w:bookmarkEnd w:id="1"/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728414A1" w14:textId="14A527CF" w:rsidR="000338C8" w:rsidRDefault="000338C8" w:rsidP="000338C8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 w:rsidR="00350202">
        <w:rPr>
          <w:rFonts w:eastAsia="Times New Roman"/>
        </w:rPr>
        <w:t>Имущество находится в залоге у ПАО «</w:t>
      </w:r>
      <w:proofErr w:type="spellStart"/>
      <w:r w:rsidR="00350202">
        <w:rPr>
          <w:rFonts w:eastAsia="Times New Roman"/>
        </w:rPr>
        <w:t>БайкалБанк</w:t>
      </w:r>
      <w:proofErr w:type="spellEnd"/>
      <w:r w:rsidR="00350202">
        <w:rPr>
          <w:rFonts w:eastAsia="Times New Roman"/>
        </w:rPr>
        <w:t xml:space="preserve">». </w:t>
      </w:r>
      <w:r w:rsidRPr="00BB6EE7">
        <w:rPr>
          <w:rFonts w:eastAsia="Times New Roman"/>
        </w:rPr>
        <w:t xml:space="preserve">Реализация имущества производится конкурсным управляющим </w:t>
      </w:r>
      <w:r w:rsidRPr="000338C8">
        <w:rPr>
          <w:rFonts w:eastAsia="Times New Roman"/>
        </w:rPr>
        <w:t>Лысенко Нин</w:t>
      </w:r>
      <w:r>
        <w:rPr>
          <w:rFonts w:eastAsia="Times New Roman"/>
        </w:rPr>
        <w:t>ой</w:t>
      </w:r>
      <w:r w:rsidRPr="000338C8">
        <w:rPr>
          <w:rFonts w:eastAsia="Times New Roman"/>
        </w:rPr>
        <w:t xml:space="preserve"> Дмитриевн</w:t>
      </w:r>
      <w:r>
        <w:rPr>
          <w:rFonts w:eastAsia="Times New Roman"/>
        </w:rPr>
        <w:t>ой</w:t>
      </w:r>
      <w:r w:rsidRPr="000338C8">
        <w:rPr>
          <w:rFonts w:eastAsia="Times New Roman"/>
        </w:rPr>
        <w:t>, номер в Сводном государственном реестре арбитражных управляющих 16623, ИНН 380406855165, СНИЛС 131-933-713 46, адрес для направления корреспонденции: 665719, Иркутская обл., г. Братск, а/я 1020, член Ассоциации ведущих арбитражных управляющих «Достояние»</w:t>
      </w:r>
      <w:r>
        <w:rPr>
          <w:rFonts w:eastAsia="Times New Roman"/>
        </w:rPr>
        <w:t xml:space="preserve"> </w:t>
      </w:r>
      <w:r w:rsidRPr="000338C8">
        <w:rPr>
          <w:rFonts w:eastAsia="Times New Roman"/>
        </w:rPr>
        <w:t>(ИНН 7811290230, ОГРН 1117800013000), адрес: 196191, г Санкт-Петербург, пл. Конституции, д. 7, офис 524),</w:t>
      </w:r>
      <w:r>
        <w:rPr>
          <w:rFonts w:eastAsia="Times New Roman"/>
        </w:rPr>
        <w:t xml:space="preserve"> </w:t>
      </w:r>
      <w:r w:rsidRPr="000338C8">
        <w:rPr>
          <w:rFonts w:eastAsia="Times New Roman"/>
        </w:rPr>
        <w:t>действующ</w:t>
      </w:r>
      <w:r>
        <w:rPr>
          <w:rFonts w:eastAsia="Times New Roman"/>
        </w:rPr>
        <w:t>им</w:t>
      </w:r>
      <w:r w:rsidRPr="000338C8">
        <w:rPr>
          <w:rFonts w:eastAsia="Times New Roman"/>
        </w:rPr>
        <w:t xml:space="preserve"> на основании</w:t>
      </w:r>
      <w:r>
        <w:rPr>
          <w:rFonts w:eastAsia="Times New Roman"/>
        </w:rPr>
        <w:t xml:space="preserve"> </w:t>
      </w:r>
      <w:r w:rsidRPr="000338C8">
        <w:rPr>
          <w:rFonts w:eastAsia="Times New Roman"/>
        </w:rPr>
        <w:t>Решения Арбитражного суда республики Бурятия от 18.03.2020 года по делу №А10-8040/2018</w:t>
      </w:r>
      <w:r>
        <w:rPr>
          <w:rFonts w:eastAsia="Times New Roman"/>
        </w:rPr>
        <w:t>.</w:t>
      </w: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77777777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977"/>
        <w:gridCol w:w="1417"/>
        <w:gridCol w:w="1276"/>
        <w:gridCol w:w="1268"/>
      </w:tblGrid>
      <w:tr w:rsidR="000338C8" w:rsidRPr="006A0C46" w14:paraId="053D8E5C" w14:textId="7F3FF51B" w:rsidTr="00FC04F0">
        <w:trPr>
          <w:trHeight w:val="782"/>
        </w:trPr>
        <w:tc>
          <w:tcPr>
            <w:tcW w:w="562" w:type="dxa"/>
            <w:shd w:val="clear" w:color="auto" w:fill="auto"/>
            <w:noWrap/>
            <w:vAlign w:val="center"/>
          </w:tcPr>
          <w:p w14:paraId="00EAB92C" w14:textId="77777777" w:rsidR="000338C8" w:rsidRPr="006A0C46" w:rsidRDefault="000338C8" w:rsidP="004C3B75">
            <w:r w:rsidRPr="006A0C46">
              <w:rPr>
                <w:sz w:val="22"/>
                <w:szCs w:val="22"/>
              </w:rPr>
              <w:t>№ лота</w:t>
            </w:r>
          </w:p>
        </w:tc>
        <w:tc>
          <w:tcPr>
            <w:tcW w:w="2552" w:type="dxa"/>
            <w:shd w:val="clear" w:color="auto" w:fill="auto"/>
          </w:tcPr>
          <w:p w14:paraId="47CE78AB" w14:textId="209A3FC8" w:rsidR="000338C8" w:rsidRPr="006A0C46" w:rsidRDefault="000338C8" w:rsidP="00FC04F0">
            <w:r w:rsidRPr="006A0C46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имущества</w:t>
            </w:r>
          </w:p>
        </w:tc>
        <w:tc>
          <w:tcPr>
            <w:tcW w:w="2977" w:type="dxa"/>
            <w:vAlign w:val="center"/>
          </w:tcPr>
          <w:p w14:paraId="56F80DFD" w14:textId="77777777" w:rsidR="000338C8" w:rsidRPr="006A0C46" w:rsidRDefault="000338C8" w:rsidP="004C3B75">
            <w:r w:rsidRPr="006A0C46">
              <w:rPr>
                <w:sz w:val="22"/>
                <w:szCs w:val="22"/>
              </w:rPr>
              <w:t>Обременения/ограничения</w:t>
            </w:r>
          </w:p>
        </w:tc>
        <w:tc>
          <w:tcPr>
            <w:tcW w:w="1417" w:type="dxa"/>
          </w:tcPr>
          <w:p w14:paraId="270BC630" w14:textId="27CBCB82" w:rsidR="000338C8" w:rsidRPr="006A0C46" w:rsidRDefault="000338C8" w:rsidP="004C3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цена, руб., НДС не облагается</w:t>
            </w:r>
          </w:p>
        </w:tc>
        <w:tc>
          <w:tcPr>
            <w:tcW w:w="1276" w:type="dxa"/>
          </w:tcPr>
          <w:p w14:paraId="40599B4F" w14:textId="28CC212B" w:rsidR="000338C8" w:rsidRPr="006A0C46" w:rsidRDefault="000338C8" w:rsidP="004C3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задатка, руб.</w:t>
            </w:r>
          </w:p>
        </w:tc>
        <w:tc>
          <w:tcPr>
            <w:tcW w:w="1268" w:type="dxa"/>
          </w:tcPr>
          <w:p w14:paraId="53AAFA2A" w14:textId="12E3DC29" w:rsidR="000338C8" w:rsidRPr="006A0C46" w:rsidRDefault="000338C8" w:rsidP="004C3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 аукциона на повышение, руб.</w:t>
            </w:r>
          </w:p>
        </w:tc>
      </w:tr>
      <w:tr w:rsidR="003D4FEE" w:rsidRPr="006A0C46" w14:paraId="325E1B2A" w14:textId="614C0E53" w:rsidTr="00FC04F0">
        <w:trPr>
          <w:trHeight w:val="78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8B2508" w14:textId="4A73065B" w:rsidR="003D4FEE" w:rsidRPr="006A0C46" w:rsidRDefault="003D4FEE" w:rsidP="003D4FEE">
            <w:r w:rsidRPr="006A0C46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14:paraId="661873ED" w14:textId="3DF973F3" w:rsidR="003D4FEE" w:rsidRPr="006A0C46" w:rsidRDefault="003D4FEE" w:rsidP="003D4FEE">
            <w:r w:rsidRPr="006A0C46">
              <w:rPr>
                <w:sz w:val="22"/>
                <w:szCs w:val="22"/>
              </w:rPr>
              <w:t>Автобетономешалка SHAANXI SX 5255 GJBJR 364; ПТС № 28 ТХ826793; Год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выпуска 2011; Модель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двигателя / № двигателя WP10.340E321611C089768; № кузова ОТСУТСТВУЕТ; Цвет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кузова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белый; VIN: LZGCL2R43BX039576</w:t>
            </w:r>
          </w:p>
        </w:tc>
        <w:tc>
          <w:tcPr>
            <w:tcW w:w="2977" w:type="dxa"/>
            <w:vAlign w:val="center"/>
            <w:hideMark/>
          </w:tcPr>
          <w:p w14:paraId="53244B00" w14:textId="77777777" w:rsidR="003D4FEE" w:rsidRPr="006A0C46" w:rsidRDefault="003D4FEE" w:rsidP="003D4FEE"/>
        </w:tc>
        <w:tc>
          <w:tcPr>
            <w:tcW w:w="1417" w:type="dxa"/>
            <w:vAlign w:val="center"/>
          </w:tcPr>
          <w:p w14:paraId="7C2664B7" w14:textId="5D386E3C" w:rsidR="003D4FEE" w:rsidRPr="006A0C46" w:rsidRDefault="003D4FEE" w:rsidP="003D4FEE">
            <w:r w:rsidRPr="006A0C46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A0C46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vAlign w:val="center"/>
          </w:tcPr>
          <w:p w14:paraId="6CC1884F" w14:textId="1D15514B" w:rsidR="003D4FEE" w:rsidRPr="006A0C46" w:rsidRDefault="003D4FEE" w:rsidP="003D4FEE">
            <w:r>
              <w:rPr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268" w:type="dxa"/>
            <w:vAlign w:val="center"/>
          </w:tcPr>
          <w:p w14:paraId="3DCE63AA" w14:textId="04F29221" w:rsidR="003D4FEE" w:rsidRPr="006A0C46" w:rsidRDefault="003D4FEE" w:rsidP="003D4FEE">
            <w:r>
              <w:rPr>
                <w:color w:val="000000"/>
                <w:sz w:val="22"/>
                <w:szCs w:val="22"/>
              </w:rPr>
              <w:t>67 500,00</w:t>
            </w:r>
          </w:p>
        </w:tc>
      </w:tr>
    </w:tbl>
    <w:p w14:paraId="651D5A83" w14:textId="77777777" w:rsidR="000338C8" w:rsidRDefault="000338C8" w:rsidP="00854DC7">
      <w:pPr>
        <w:ind w:firstLine="567"/>
        <w:jc w:val="both"/>
        <w:rPr>
          <w:b/>
          <w:bCs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3CF343CA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8" w:history="1">
        <w:r w:rsidR="003D4FEE" w:rsidRPr="002A2926">
          <w:rPr>
            <w:rStyle w:val="afb"/>
            <w:rFonts w:eastAsia="Times New Roman"/>
            <w:lang w:val="en-US"/>
          </w:rPr>
          <w:t>www</w:t>
        </w:r>
        <w:r w:rsidR="003D4FEE" w:rsidRPr="002A2926">
          <w:rPr>
            <w:rStyle w:val="afb"/>
            <w:rFonts w:eastAsia="Times New Roman"/>
          </w:rPr>
          <w:t>.</w:t>
        </w:r>
        <w:r w:rsidR="003D4FEE" w:rsidRPr="002A2926">
          <w:rPr>
            <w:rStyle w:val="afb"/>
            <w:rFonts w:eastAsia="Times New Roman"/>
            <w:lang w:val="en-US"/>
          </w:rPr>
          <w:t>lot</w:t>
        </w:r>
        <w:r w:rsidR="003D4FEE" w:rsidRPr="002A2926">
          <w:rPr>
            <w:rStyle w:val="afb"/>
            <w:rFonts w:eastAsia="Times New Roman"/>
          </w:rPr>
          <w:t>-</w:t>
        </w:r>
        <w:r w:rsidR="003D4FEE" w:rsidRPr="002A2926">
          <w:rPr>
            <w:rStyle w:val="afb"/>
            <w:rFonts w:eastAsia="Times New Roman"/>
            <w:lang w:val="en-US"/>
          </w:rPr>
          <w:t>online</w:t>
        </w:r>
        <w:r w:rsidR="003D4FEE" w:rsidRPr="002A2926">
          <w:rPr>
            <w:rStyle w:val="afb"/>
            <w:rFonts w:eastAsia="Times New Roman"/>
          </w:rPr>
          <w:t>.</w:t>
        </w:r>
        <w:proofErr w:type="spellStart"/>
        <w:r w:rsidR="003D4FEE" w:rsidRPr="002A2926">
          <w:rPr>
            <w:rStyle w:val="afb"/>
            <w:rFonts w:eastAsia="Times New Roman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5C361B1" w14:textId="77777777" w:rsidR="00854DC7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30D8B">
        <w:rPr>
          <w:color w:val="auto"/>
        </w:rPr>
        <w:t xml:space="preserve">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338783F7" w14:textId="77777777" w:rsidR="00854DC7" w:rsidRPr="00214A63" w:rsidRDefault="00854DC7" w:rsidP="00854DC7">
      <w:pPr>
        <w:pStyle w:val="a7"/>
        <w:spacing w:line="240" w:lineRule="auto"/>
        <w:ind w:right="-29"/>
        <w:jc w:val="right"/>
        <w:rPr>
          <w:rFonts w:ascii="Arial" w:hAnsi="Arial" w:cs="Arial"/>
          <w:color w:val="FF0000"/>
          <w:sz w:val="21"/>
          <w:szCs w:val="21"/>
        </w:rPr>
      </w:pPr>
    </w:p>
    <w:p w14:paraId="70DE6B33" w14:textId="77777777" w:rsidR="00854DC7" w:rsidRPr="00F30D8B" w:rsidRDefault="00854DC7" w:rsidP="00854DC7">
      <w:pPr>
        <w:ind w:right="60" w:firstLine="567"/>
        <w:jc w:val="both"/>
        <w:rPr>
          <w:b/>
          <w:bCs/>
        </w:rPr>
      </w:pPr>
      <w:r w:rsidRPr="00F30D8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1FC386E1" w14:textId="77777777" w:rsidR="00854DC7" w:rsidRPr="008751C7" w:rsidRDefault="00854DC7" w:rsidP="00854DC7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40702810855230001547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2B1A2940" w14:textId="77777777" w:rsidR="00854DC7" w:rsidRDefault="00854DC7" w:rsidP="00854DC7">
      <w:pPr>
        <w:pStyle w:val="a7"/>
        <w:spacing w:line="240" w:lineRule="auto"/>
        <w:ind w:right="-29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№ 40702810100050004773 в Северо-западном филиале ПАО «Банк «ФК Открытие» в г. Санкт-Петербург, к/с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30101810540300000795, БИК 044030795</w:t>
      </w:r>
    </w:p>
    <w:p w14:paraId="25AD48FA" w14:textId="793D9D9F" w:rsidR="00854DC7" w:rsidRPr="00EB5A31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</w:t>
      </w:r>
      <w:r w:rsidRPr="00EB5A3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позднее </w:t>
      </w:r>
      <w:r w:rsidRPr="00011C6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</w:t>
      </w:r>
      <w:r w:rsidR="00011C6B" w:rsidRPr="00011C6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6</w:t>
      </w:r>
      <w:r w:rsidRPr="00011C6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.00 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gramStart"/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МСК)  </w:t>
      </w:r>
      <w:r w:rsidR="006543E0" w:rsidRPr="006543E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12</w:t>
      </w:r>
      <w:proofErr w:type="gramEnd"/>
      <w:r w:rsidR="006543E0" w:rsidRPr="006543E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августа </w:t>
      </w:r>
      <w:r w:rsidR="00B50686" w:rsidRPr="00B5068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2022</w:t>
      </w:r>
      <w:r w:rsidRPr="00EC1C9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  <w:r w:rsidRPr="008B563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03D578AA" w14:textId="694C696F" w:rsidR="00854DC7" w:rsidRPr="008452DD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В платежном поручении в части «Назначение платежа» претенденту необходимо указать </w:t>
      </w:r>
      <w:r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>«</w:t>
      </w:r>
      <w:r w:rsidR="00FC6719"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Перечисление задатка за участие в торгах по купле-продаже имущества АО </w:t>
      </w:r>
      <w:r w:rsidR="00FC6719"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«</w:t>
      </w:r>
      <w:proofErr w:type="spellStart"/>
      <w:r w:rsidR="00FC6719"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>Промгражданстрой</w:t>
      </w:r>
      <w:proofErr w:type="spellEnd"/>
      <w:r w:rsidR="00FC6719"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>», являющегося предметом залога по лоту №РАД…»</w:t>
      </w:r>
      <w:r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и </w:t>
      </w:r>
      <w:r w:rsidR="00716F5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указать </w:t>
      </w: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номер кода Лота (присвоенный электронной площадкой РАД-</w:t>
      </w:r>
      <w:proofErr w:type="spellStart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ххххх</w:t>
      </w:r>
      <w:proofErr w:type="spellEnd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F82BD11" w14:textId="77777777" w:rsidR="00854DC7" w:rsidRPr="00757FE8" w:rsidRDefault="00854DC7" w:rsidP="00854DC7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59C0E91" w14:textId="77777777" w:rsidR="00854DC7" w:rsidRPr="00F30D8B" w:rsidRDefault="00854DC7" w:rsidP="00854DC7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0EE79EE7" w14:textId="77777777" w:rsidR="00854DC7" w:rsidRPr="00F30D8B" w:rsidRDefault="00854DC7" w:rsidP="00854DC7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66C7CFAB" w14:textId="77777777" w:rsidR="00854DC7" w:rsidRPr="00F30D8B" w:rsidRDefault="00854DC7" w:rsidP="00854DC7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1A76C577" w14:textId="77777777" w:rsidR="00854DC7" w:rsidRPr="00F30D8B" w:rsidRDefault="00854DC7" w:rsidP="00854DC7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598220C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702F3A44" w14:textId="77777777" w:rsidR="00854DC7" w:rsidRPr="00F30D8B" w:rsidRDefault="00854DC7" w:rsidP="00854DC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7263629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6543E0">
        <w:rPr>
          <w:b/>
          <w:bCs/>
          <w:color w:val="0070C0"/>
          <w:u w:val="single"/>
        </w:rPr>
        <w:t>11</w:t>
      </w:r>
      <w:r w:rsidR="00B50686">
        <w:rPr>
          <w:b/>
          <w:bCs/>
          <w:color w:val="0070C0"/>
          <w:u w:val="single"/>
        </w:rPr>
        <w:t xml:space="preserve"> </w:t>
      </w:r>
      <w:r w:rsidR="006543E0">
        <w:rPr>
          <w:b/>
          <w:bCs/>
          <w:color w:val="0070C0"/>
          <w:u w:val="single"/>
        </w:rPr>
        <w:t>июля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B50686">
        <w:rPr>
          <w:b/>
          <w:bCs/>
          <w:color w:val="0070C0"/>
          <w:u w:val="single"/>
        </w:rPr>
        <w:t>2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1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6222BDFC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9DF622F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Договор купли-продажи заключается между собственником и победителем аукциона в течение </w:t>
      </w:r>
      <w:r w:rsidRPr="003277A3">
        <w:rPr>
          <w:b/>
          <w:bCs/>
        </w:rPr>
        <w:t xml:space="preserve">10 (десяти) </w:t>
      </w:r>
      <w:r w:rsidRPr="00CC799D">
        <w:rPr>
          <w:b/>
          <w:bCs/>
        </w:rPr>
        <w:t xml:space="preserve">дней после подведения итогов торгов, в соответствии с формой, размещенной на сайте www.lot-online.ru в разделе «карточка лота». 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16CD988E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дней после заключения договора купли-продажи.</w:t>
      </w:r>
    </w:p>
    <w:p w14:paraId="45B82EC3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C8433F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371999131">
    <w:abstractNumId w:val="14"/>
  </w:num>
  <w:num w:numId="2" w16cid:durableId="1004473496">
    <w:abstractNumId w:val="20"/>
  </w:num>
  <w:num w:numId="3" w16cid:durableId="885675210">
    <w:abstractNumId w:val="5"/>
  </w:num>
  <w:num w:numId="4" w16cid:durableId="1855145354">
    <w:abstractNumId w:val="9"/>
  </w:num>
  <w:num w:numId="5" w16cid:durableId="631443358">
    <w:abstractNumId w:val="23"/>
  </w:num>
  <w:num w:numId="6" w16cid:durableId="546915710">
    <w:abstractNumId w:val="8"/>
  </w:num>
  <w:num w:numId="7" w16cid:durableId="1438139685">
    <w:abstractNumId w:val="18"/>
  </w:num>
  <w:num w:numId="8" w16cid:durableId="1103262414">
    <w:abstractNumId w:val="16"/>
  </w:num>
  <w:num w:numId="9" w16cid:durableId="484862910">
    <w:abstractNumId w:val="4"/>
  </w:num>
  <w:num w:numId="10" w16cid:durableId="125005016">
    <w:abstractNumId w:val="6"/>
  </w:num>
  <w:num w:numId="11" w16cid:durableId="1759210480">
    <w:abstractNumId w:val="25"/>
  </w:num>
  <w:num w:numId="12" w16cid:durableId="1142312337">
    <w:abstractNumId w:val="7"/>
  </w:num>
  <w:num w:numId="13" w16cid:durableId="1665738406">
    <w:abstractNumId w:val="11"/>
  </w:num>
  <w:num w:numId="14" w16cid:durableId="2110006856">
    <w:abstractNumId w:val="19"/>
  </w:num>
  <w:num w:numId="15" w16cid:durableId="153766538">
    <w:abstractNumId w:val="13"/>
  </w:num>
  <w:num w:numId="16" w16cid:durableId="725839656">
    <w:abstractNumId w:val="2"/>
  </w:num>
  <w:num w:numId="17" w16cid:durableId="1548300039">
    <w:abstractNumId w:val="21"/>
  </w:num>
  <w:num w:numId="18" w16cid:durableId="1349869506">
    <w:abstractNumId w:val="17"/>
  </w:num>
  <w:num w:numId="19" w16cid:durableId="322002974">
    <w:abstractNumId w:val="15"/>
  </w:num>
  <w:num w:numId="20" w16cid:durableId="1990789775">
    <w:abstractNumId w:val="24"/>
  </w:num>
  <w:num w:numId="21" w16cid:durableId="485321020">
    <w:abstractNumId w:val="3"/>
  </w:num>
  <w:num w:numId="22" w16cid:durableId="101657301">
    <w:abstractNumId w:val="10"/>
  </w:num>
  <w:num w:numId="23" w16cid:durableId="1903249939">
    <w:abstractNumId w:val="22"/>
  </w:num>
  <w:num w:numId="24" w16cid:durableId="716852274">
    <w:abstractNumId w:val="0"/>
  </w:num>
  <w:num w:numId="25" w16cid:durableId="202862457">
    <w:abstractNumId w:val="12"/>
  </w:num>
  <w:num w:numId="26" w16cid:durableId="59137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11C6B"/>
    <w:rsid w:val="000338C8"/>
    <w:rsid w:val="00150F7A"/>
    <w:rsid w:val="00184790"/>
    <w:rsid w:val="001D7A9B"/>
    <w:rsid w:val="002D571C"/>
    <w:rsid w:val="002E73AC"/>
    <w:rsid w:val="003201A7"/>
    <w:rsid w:val="003277A3"/>
    <w:rsid w:val="00350202"/>
    <w:rsid w:val="003D4FEE"/>
    <w:rsid w:val="00460277"/>
    <w:rsid w:val="00477AE7"/>
    <w:rsid w:val="00497905"/>
    <w:rsid w:val="004C459E"/>
    <w:rsid w:val="0057335E"/>
    <w:rsid w:val="005D4331"/>
    <w:rsid w:val="005E675D"/>
    <w:rsid w:val="006105D6"/>
    <w:rsid w:val="00613CCF"/>
    <w:rsid w:val="00622C2D"/>
    <w:rsid w:val="006543E0"/>
    <w:rsid w:val="00656F2E"/>
    <w:rsid w:val="00702538"/>
    <w:rsid w:val="00716F59"/>
    <w:rsid w:val="007827C2"/>
    <w:rsid w:val="007E55D8"/>
    <w:rsid w:val="00825153"/>
    <w:rsid w:val="00833D96"/>
    <w:rsid w:val="00854DC7"/>
    <w:rsid w:val="009225AC"/>
    <w:rsid w:val="00924527"/>
    <w:rsid w:val="00927AB8"/>
    <w:rsid w:val="00A40D10"/>
    <w:rsid w:val="00AA7A77"/>
    <w:rsid w:val="00B13F61"/>
    <w:rsid w:val="00B50686"/>
    <w:rsid w:val="00BB6EE7"/>
    <w:rsid w:val="00C74A5D"/>
    <w:rsid w:val="00C8433F"/>
    <w:rsid w:val="00C97B50"/>
    <w:rsid w:val="00D557B5"/>
    <w:rsid w:val="00D93155"/>
    <w:rsid w:val="00DF48FA"/>
    <w:rsid w:val="00E423E5"/>
    <w:rsid w:val="00E54FE2"/>
    <w:rsid w:val="00E910EE"/>
    <w:rsid w:val="00E96DEE"/>
    <w:rsid w:val="00EC1C9A"/>
    <w:rsid w:val="00F84880"/>
    <w:rsid w:val="00FC04F0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v@auction-hous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auction-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0717-2640-468D-A256-664A8EDD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6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27</cp:revision>
  <cp:lastPrinted>2021-07-19T03:16:00Z</cp:lastPrinted>
  <dcterms:created xsi:type="dcterms:W3CDTF">2020-05-19T01:22:00Z</dcterms:created>
  <dcterms:modified xsi:type="dcterms:W3CDTF">2022-07-04T05:05:00Z</dcterms:modified>
</cp:coreProperties>
</file>