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A3A" w14:textId="768F8DD2" w:rsidR="00854DC7" w:rsidRPr="00F30D8B" w:rsidRDefault="00854DC7" w:rsidP="00854DC7">
      <w:pPr>
        <w:jc w:val="both"/>
        <w:outlineLvl w:val="0"/>
        <w:rPr>
          <w:b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 w:rsidR="00D84905">
        <w:rPr>
          <w:b/>
          <w:bCs/>
        </w:rPr>
        <w:t>прав требования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</w:t>
      </w:r>
      <w:r w:rsidR="00D84905">
        <w:rPr>
          <w:b/>
          <w:bCs/>
        </w:rPr>
        <w:t>ых</w:t>
      </w:r>
      <w:r>
        <w:rPr>
          <w:b/>
          <w:bCs/>
        </w:rPr>
        <w:t xml:space="preserve"> в рамках банкротства </w:t>
      </w:r>
      <w:r w:rsidR="00E240B3">
        <w:rPr>
          <w:b/>
          <w:bCs/>
        </w:rPr>
        <w:t>ОО</w:t>
      </w:r>
      <w:r>
        <w:rPr>
          <w:b/>
          <w:bCs/>
        </w:rPr>
        <w:t xml:space="preserve">О </w:t>
      </w:r>
      <w:r w:rsidR="00EC1C9A">
        <w:rPr>
          <w:b/>
          <w:bCs/>
        </w:rPr>
        <w:t>«</w:t>
      </w:r>
      <w:r w:rsidR="00E240B3">
        <w:rPr>
          <w:b/>
          <w:bCs/>
        </w:rPr>
        <w:t>Альчанец</w:t>
      </w:r>
      <w:r>
        <w:rPr>
          <w:b/>
          <w:bCs/>
        </w:rPr>
        <w:t>»</w:t>
      </w:r>
    </w:p>
    <w:p w14:paraId="31C5750B" w14:textId="77777777" w:rsidR="00854DC7" w:rsidRDefault="00854DC7" w:rsidP="00854DC7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7F27F5E4" w14:textId="6EECDBBC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B927CA">
        <w:rPr>
          <w:rFonts w:eastAsia="Times New Roman"/>
          <w:b/>
          <w:bCs/>
          <w:color w:val="0070C0"/>
        </w:rPr>
        <w:t>16</w:t>
      </w:r>
      <w:r w:rsidR="00E240B3">
        <w:rPr>
          <w:rFonts w:eastAsia="Times New Roman"/>
          <w:b/>
          <w:bCs/>
          <w:color w:val="0070C0"/>
        </w:rPr>
        <w:t xml:space="preserve"> </w:t>
      </w:r>
      <w:r w:rsidR="00B927CA">
        <w:rPr>
          <w:rFonts w:eastAsia="Times New Roman"/>
          <w:b/>
          <w:bCs/>
          <w:color w:val="0070C0"/>
        </w:rPr>
        <w:t>августа</w:t>
      </w:r>
      <w:r w:rsidR="00EC1C9A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B927CA">
        <w:rPr>
          <w:rFonts w:eastAsia="Times New Roman"/>
          <w:b/>
          <w:bCs/>
          <w:color w:val="0070C0"/>
        </w:rPr>
        <w:t>2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B927CA">
        <w:rPr>
          <w:rFonts w:eastAsia="Times New Roman"/>
          <w:b/>
          <w:bCs/>
          <w:color w:val="0070C0"/>
        </w:rPr>
        <w:t>6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5B4E8A5D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B927CA">
        <w:rPr>
          <w:b/>
          <w:bCs/>
          <w:color w:val="0070C0"/>
        </w:rPr>
        <w:t>11</w:t>
      </w:r>
      <w:r w:rsidR="00BB6EE7">
        <w:rPr>
          <w:b/>
          <w:bCs/>
          <w:color w:val="0070C0"/>
        </w:rPr>
        <w:t xml:space="preserve"> </w:t>
      </w:r>
      <w:r w:rsidR="00B927CA">
        <w:rPr>
          <w:b/>
          <w:bCs/>
          <w:color w:val="0070C0"/>
        </w:rPr>
        <w:t>июля</w:t>
      </w:r>
      <w:r w:rsidR="00184790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B927CA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E34E9B">
        <w:rPr>
          <w:b/>
          <w:bCs/>
          <w:color w:val="0070C0"/>
        </w:rPr>
        <w:t>15</w:t>
      </w:r>
      <w:r w:rsidRPr="00BB6EE7">
        <w:rPr>
          <w:b/>
          <w:bCs/>
          <w:color w:val="0070C0"/>
        </w:rPr>
        <w:t xml:space="preserve"> </w:t>
      </w:r>
      <w:r w:rsidR="00E34E9B">
        <w:rPr>
          <w:b/>
          <w:bCs/>
          <w:color w:val="0070C0"/>
        </w:rPr>
        <w:t>августа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E34E9B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E34E9B">
        <w:rPr>
          <w:b/>
          <w:bCs/>
          <w:color w:val="0070C0"/>
        </w:rPr>
        <w:t>6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718BEAB9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Задаток должен поступить на счет Организатора торгов не позднее 0</w:t>
      </w:r>
      <w:r w:rsidR="00E34E9B">
        <w:rPr>
          <w:b/>
          <w:bCs/>
        </w:rPr>
        <w:t>6</w:t>
      </w:r>
      <w:r w:rsidRPr="00A40D10">
        <w:rPr>
          <w:b/>
          <w:bCs/>
        </w:rPr>
        <w:t xml:space="preserve">.00 (МСК) </w:t>
      </w:r>
      <w:bookmarkStart w:id="0" w:name="_Hlk77174612"/>
      <w:r w:rsidR="00E34E9B">
        <w:rPr>
          <w:b/>
          <w:bCs/>
          <w:color w:val="0070C0"/>
        </w:rPr>
        <w:t>15</w:t>
      </w:r>
      <w:r w:rsidR="00E34E9B" w:rsidRPr="00BB6EE7">
        <w:rPr>
          <w:b/>
          <w:bCs/>
          <w:color w:val="0070C0"/>
        </w:rPr>
        <w:t xml:space="preserve"> </w:t>
      </w:r>
      <w:r w:rsidR="00E34E9B">
        <w:rPr>
          <w:b/>
          <w:bCs/>
          <w:color w:val="0070C0"/>
        </w:rPr>
        <w:t xml:space="preserve">августа </w:t>
      </w:r>
      <w:r w:rsidR="00AF78EF" w:rsidRPr="00BB6EE7">
        <w:rPr>
          <w:b/>
          <w:bCs/>
          <w:color w:val="0070C0"/>
        </w:rPr>
        <w:t>202</w:t>
      </w:r>
      <w:r w:rsidR="00E34E9B">
        <w:rPr>
          <w:b/>
          <w:bCs/>
          <w:color w:val="0070C0"/>
        </w:rPr>
        <w:t>2</w:t>
      </w:r>
      <w:r w:rsidR="00AF78EF">
        <w:rPr>
          <w:b/>
          <w:bCs/>
          <w:color w:val="0070C0"/>
        </w:rPr>
        <w:t xml:space="preserve"> </w:t>
      </w:r>
      <w:bookmarkEnd w:id="0"/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6817BB3C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Pr="00A40D10">
        <w:rPr>
          <w:b/>
          <w:bCs/>
        </w:rPr>
        <w:t>1</w:t>
      </w:r>
      <w:r w:rsidR="004D23F0">
        <w:rPr>
          <w:b/>
          <w:bCs/>
        </w:rPr>
        <w:t>1</w:t>
      </w:r>
      <w:r w:rsidRPr="00A40D10">
        <w:rPr>
          <w:b/>
          <w:bCs/>
        </w:rPr>
        <w:t xml:space="preserve">:00 (МСК) </w:t>
      </w:r>
      <w:r w:rsidR="00E34E9B">
        <w:rPr>
          <w:b/>
          <w:bCs/>
          <w:color w:val="0070C0"/>
        </w:rPr>
        <w:t>15</w:t>
      </w:r>
      <w:r w:rsidR="00E34E9B" w:rsidRPr="00BB6EE7">
        <w:rPr>
          <w:b/>
          <w:bCs/>
          <w:color w:val="0070C0"/>
        </w:rPr>
        <w:t xml:space="preserve"> </w:t>
      </w:r>
      <w:r w:rsidR="00E34E9B">
        <w:rPr>
          <w:b/>
          <w:bCs/>
          <w:color w:val="0070C0"/>
        </w:rPr>
        <w:t xml:space="preserve">августа </w:t>
      </w:r>
      <w:r w:rsidR="00AF78EF" w:rsidRPr="00BB6EE7">
        <w:rPr>
          <w:b/>
          <w:bCs/>
          <w:color w:val="0070C0"/>
        </w:rPr>
        <w:t>202</w:t>
      </w:r>
      <w:r w:rsidR="00E34E9B">
        <w:rPr>
          <w:b/>
          <w:bCs/>
          <w:color w:val="0070C0"/>
        </w:rPr>
        <w:t>2</w:t>
      </w:r>
      <w:r w:rsidR="00AF78E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5B5EC771" w:rsidR="00854DC7" w:rsidRPr="00927AB8" w:rsidRDefault="00854DC7" w:rsidP="00854DC7">
      <w:pPr>
        <w:ind w:firstLine="720"/>
        <w:jc w:val="both"/>
        <w:rPr>
          <w:rFonts w:eastAsia="Times New Roman"/>
        </w:rPr>
      </w:pPr>
      <w:r w:rsidRPr="00DF48FA">
        <w:rPr>
          <w:rFonts w:eastAsia="Times New Roman"/>
        </w:rPr>
        <w:t xml:space="preserve">Ознакомление с предметом торгов осуществляется в рабочие дни по тел. </w:t>
      </w:r>
      <w:r w:rsidR="00EC1C9A" w:rsidRPr="00EC1C9A">
        <w:rPr>
          <w:rFonts w:eastAsia="Times New Roman"/>
        </w:rPr>
        <w:t>8(</w:t>
      </w:r>
      <w:r w:rsidR="0017784B">
        <w:rPr>
          <w:rFonts w:eastAsia="Times New Roman"/>
        </w:rPr>
        <w:t>812</w:t>
      </w:r>
      <w:r w:rsidR="00EC1C9A" w:rsidRPr="00EC1C9A">
        <w:rPr>
          <w:rFonts w:eastAsia="Times New Roman"/>
        </w:rPr>
        <w:t>)</w:t>
      </w:r>
      <w:r w:rsidR="0017784B">
        <w:rPr>
          <w:rFonts w:eastAsia="Times New Roman"/>
        </w:rPr>
        <w:t>7775757, доб 516</w:t>
      </w:r>
      <w:r w:rsidR="00EC1C9A" w:rsidRPr="00EC1C9A">
        <w:rPr>
          <w:rFonts w:eastAsia="Times New Roman"/>
        </w:rPr>
        <w:t>, +7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Адрес электронной почты: </w:t>
      </w:r>
      <w:hyperlink r:id="rId6" w:history="1">
        <w:r w:rsidR="00E34E9B" w:rsidRPr="006049EB">
          <w:rPr>
            <w:rStyle w:val="afb"/>
            <w:lang w:val="en-US"/>
          </w:rPr>
          <w:t>dv</w:t>
        </w:r>
        <w:r w:rsidR="00E34E9B" w:rsidRPr="006049EB">
          <w:rPr>
            <w:rStyle w:val="afb"/>
          </w:rPr>
          <w:t>@auction-house.ru</w:t>
        </w:r>
      </w:hyperlink>
      <w:r w:rsidR="00D557B5" w:rsidRPr="00927AB8">
        <w:t xml:space="preserve">. </w:t>
      </w:r>
    </w:p>
    <w:p w14:paraId="5AF8B1D3" w14:textId="77777777" w:rsidR="00150706" w:rsidRDefault="00150706" w:rsidP="00150706">
      <w:pPr>
        <w:ind w:firstLine="567"/>
        <w:jc w:val="both"/>
        <w:rPr>
          <w:rFonts w:eastAsia="Times New Roman"/>
        </w:rPr>
      </w:pPr>
      <w:r w:rsidRPr="00BB6EE7">
        <w:rPr>
          <w:rFonts w:eastAsia="Times New Roman"/>
        </w:rPr>
        <w:t xml:space="preserve">ВАЖНО: Реализация имущества производится конкурсным управляющим </w:t>
      </w:r>
      <w:r w:rsidRPr="00E240B3">
        <w:rPr>
          <w:rFonts w:eastAsia="Times New Roman"/>
        </w:rPr>
        <w:t>Горьков</w:t>
      </w:r>
      <w:r>
        <w:rPr>
          <w:rFonts w:eastAsia="Times New Roman"/>
        </w:rPr>
        <w:t>ым</w:t>
      </w:r>
      <w:r w:rsidRPr="00E240B3">
        <w:rPr>
          <w:rFonts w:eastAsia="Times New Roman"/>
        </w:rPr>
        <w:t xml:space="preserve"> Антон</w:t>
      </w:r>
      <w:r>
        <w:rPr>
          <w:rFonts w:eastAsia="Times New Roman"/>
        </w:rPr>
        <w:t>ом</w:t>
      </w:r>
      <w:r w:rsidRPr="00E240B3">
        <w:rPr>
          <w:rFonts w:eastAsia="Times New Roman"/>
        </w:rPr>
        <w:t xml:space="preserve"> Михайлович</w:t>
      </w:r>
      <w:r>
        <w:rPr>
          <w:rFonts w:eastAsia="Times New Roman"/>
        </w:rPr>
        <w:t>ем</w:t>
      </w:r>
      <w:r w:rsidRPr="00E240B3">
        <w:rPr>
          <w:rFonts w:eastAsia="Times New Roman"/>
        </w:rPr>
        <w:t xml:space="preserve"> (ИНН 543311040709,  СНИЛС 086-571-684 11, рег.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Нижний Новгород, ул.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Ильинская д.69 к.10), действующего на основании Решения Арбитражного суда Республики Саха (Якутия)  от 15.04.2019 года по делу №А58-5028/2016</w:t>
      </w:r>
      <w:r>
        <w:rPr>
          <w:rFonts w:eastAsia="Times New Roman"/>
        </w:rPr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65496049" w14:textId="23F5BF41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подлежит:</w:t>
      </w:r>
    </w:p>
    <w:p w14:paraId="1F2D32ED" w14:textId="77777777" w:rsidR="00E240B3" w:rsidRDefault="00E240B3" w:rsidP="00854DC7">
      <w:pPr>
        <w:ind w:firstLine="567"/>
        <w:jc w:val="both"/>
        <w:rPr>
          <w:b/>
          <w:bCs/>
        </w:rPr>
      </w:pPr>
    </w:p>
    <w:p w14:paraId="4AFFAB2F" w14:textId="77777777" w:rsidR="00854DC7" w:rsidRPr="008751C2" w:rsidRDefault="00854DC7" w:rsidP="00854DC7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№1</w:t>
      </w:r>
    </w:p>
    <w:p w14:paraId="17E1B243" w14:textId="31DF3FE4" w:rsidR="008751C2" w:rsidRDefault="008751C2" w:rsidP="00E240B3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 xml:space="preserve">раво требования ООО «Альчанец» (ИНН 1420041932) к ООО «Ылэн» (ИНН 1420004962) в сумме 353 529,93 руб., установленное определением Арбитражного суда Республики Саха (Якутия) от 19 октября 2020 года по делу № А58-5028/2016 </w:t>
      </w:r>
    </w:p>
    <w:p w14:paraId="66FB1987" w14:textId="77777777" w:rsidR="00EC1C9A" w:rsidRDefault="00EC1C9A" w:rsidP="00854DC7">
      <w:pPr>
        <w:ind w:firstLine="567"/>
        <w:jc w:val="both"/>
        <w:rPr>
          <w:rFonts w:eastAsia="Times New Roman"/>
        </w:rPr>
      </w:pPr>
    </w:p>
    <w:p w14:paraId="1B02A8DE" w14:textId="0A78EB9A" w:rsidR="00854DC7" w:rsidRPr="00BB6EE7" w:rsidRDefault="00854DC7" w:rsidP="00EC1C9A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8751C2">
        <w:rPr>
          <w:b/>
          <w:bCs/>
          <w:color w:val="0070C0"/>
        </w:rPr>
        <w:t>353 529</w:t>
      </w:r>
      <w:r w:rsidR="00BB6EE7" w:rsidRPr="00BB6EE7">
        <w:rPr>
          <w:color w:val="000000"/>
        </w:rPr>
        <w:t xml:space="preserve"> (</w:t>
      </w:r>
      <w:r w:rsidR="008751C2">
        <w:rPr>
          <w:color w:val="000000"/>
        </w:rPr>
        <w:t xml:space="preserve">Триста пятьдесят три </w:t>
      </w:r>
      <w:r w:rsidR="00E240B3">
        <w:rPr>
          <w:color w:val="000000"/>
        </w:rPr>
        <w:t xml:space="preserve">тысячи пятьсот </w:t>
      </w:r>
      <w:r w:rsidR="008751C2">
        <w:rPr>
          <w:color w:val="000000"/>
        </w:rPr>
        <w:t>двадцать девять</w:t>
      </w:r>
      <w:r w:rsidR="00BB6EE7" w:rsidRPr="00BB6EE7">
        <w:rPr>
          <w:color w:val="000000"/>
        </w:rPr>
        <w:t>)</w:t>
      </w:r>
      <w:r w:rsidRPr="00BB6EE7">
        <w:rPr>
          <w:color w:val="000000"/>
        </w:rPr>
        <w:t xml:space="preserve"> </w:t>
      </w:r>
      <w:r w:rsidRPr="008751C2">
        <w:rPr>
          <w:b/>
          <w:bCs/>
          <w:color w:val="0070C0"/>
        </w:rPr>
        <w:t xml:space="preserve">руб. </w:t>
      </w:r>
      <w:r w:rsidR="008751C2">
        <w:rPr>
          <w:b/>
          <w:bCs/>
          <w:color w:val="0070C0"/>
        </w:rPr>
        <w:t>93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50151C26" w14:textId="0DCAA4D9" w:rsidR="00854DC7" w:rsidRPr="00BB6EE7" w:rsidRDefault="00854DC7" w:rsidP="00854DC7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3F67CB">
        <w:rPr>
          <w:b/>
          <w:bCs/>
          <w:color w:val="0070C0"/>
        </w:rPr>
        <w:t>70 705</w:t>
      </w:r>
      <w:r w:rsidR="00BB6EE7" w:rsidRPr="008751C2">
        <w:rPr>
          <w:bCs/>
          <w:color w:val="0070C0"/>
        </w:rPr>
        <w:t xml:space="preserve"> </w:t>
      </w:r>
      <w:r w:rsidR="00BB6EE7" w:rsidRPr="00BB6EE7">
        <w:rPr>
          <w:bCs/>
        </w:rPr>
        <w:t>(</w:t>
      </w:r>
      <w:r w:rsidR="00E240B3">
        <w:rPr>
          <w:bCs/>
        </w:rPr>
        <w:t>С</w:t>
      </w:r>
      <w:r w:rsidR="003F67CB">
        <w:rPr>
          <w:bCs/>
        </w:rPr>
        <w:t>емьдесят тысяч семьсот пять</w:t>
      </w:r>
      <w:r w:rsidR="00EC1C9A"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3F67CB">
        <w:rPr>
          <w:b/>
          <w:bCs/>
          <w:color w:val="0070C0"/>
        </w:rPr>
        <w:t>99</w:t>
      </w:r>
      <w:r w:rsidRPr="008751C2">
        <w:rPr>
          <w:b/>
          <w:bCs/>
          <w:color w:val="0070C0"/>
        </w:rPr>
        <w:t xml:space="preserve"> коп.</w:t>
      </w:r>
    </w:p>
    <w:p w14:paraId="04F8ECBB" w14:textId="6D1725B8" w:rsidR="00EC1C9A" w:rsidRPr="008751C2" w:rsidRDefault="00854DC7" w:rsidP="00EC1C9A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3F67CB">
        <w:rPr>
          <w:b/>
          <w:bCs/>
          <w:color w:val="0070C0"/>
        </w:rPr>
        <w:t>17 676</w:t>
      </w:r>
      <w:r w:rsidR="00EC1C9A" w:rsidRPr="008751C2">
        <w:rPr>
          <w:bCs/>
          <w:color w:val="0070C0"/>
        </w:rPr>
        <w:t xml:space="preserve"> </w:t>
      </w:r>
      <w:r w:rsidR="003201A7">
        <w:rPr>
          <w:bCs/>
        </w:rPr>
        <w:t>(</w:t>
      </w:r>
      <w:r w:rsidR="003F67CB">
        <w:rPr>
          <w:bCs/>
        </w:rPr>
        <w:t xml:space="preserve">Семнадцать </w:t>
      </w:r>
      <w:r w:rsidR="00E240B3">
        <w:rPr>
          <w:bCs/>
        </w:rPr>
        <w:t xml:space="preserve">тысяч шестьсот </w:t>
      </w:r>
      <w:r w:rsidR="003F67CB">
        <w:rPr>
          <w:bCs/>
        </w:rPr>
        <w:t>семьдесят шесть</w:t>
      </w:r>
      <w:r w:rsidR="00EC1C9A">
        <w:rPr>
          <w:bCs/>
        </w:rPr>
        <w:t xml:space="preserve">) </w:t>
      </w:r>
      <w:r w:rsidR="00EC1C9A" w:rsidRPr="008751C2">
        <w:rPr>
          <w:b/>
          <w:bCs/>
          <w:color w:val="0070C0"/>
        </w:rPr>
        <w:t xml:space="preserve">руб. </w:t>
      </w:r>
      <w:r w:rsidR="00E240B3" w:rsidRPr="008751C2">
        <w:rPr>
          <w:b/>
          <w:bCs/>
          <w:color w:val="0070C0"/>
        </w:rPr>
        <w:t>5</w:t>
      </w:r>
      <w:r w:rsidR="00EC1C9A" w:rsidRPr="008751C2">
        <w:rPr>
          <w:b/>
          <w:bCs/>
          <w:color w:val="0070C0"/>
        </w:rPr>
        <w:t>0 коп.</w:t>
      </w:r>
    </w:p>
    <w:p w14:paraId="5F524E49" w14:textId="77777777" w:rsidR="00E240B3" w:rsidRDefault="00E240B3" w:rsidP="00EC1C9A">
      <w:pPr>
        <w:jc w:val="both"/>
        <w:rPr>
          <w:b/>
          <w:bCs/>
        </w:rPr>
      </w:pPr>
    </w:p>
    <w:p w14:paraId="2CB9D461" w14:textId="7164404C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2</w:t>
      </w:r>
    </w:p>
    <w:p w14:paraId="701554A4" w14:textId="2E5EA146" w:rsidR="008751C2" w:rsidRDefault="008751C2" w:rsidP="008751C2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Pr="008751C2">
        <w:rPr>
          <w:lang w:eastAsia="en-US"/>
        </w:rPr>
        <w:t>раво требования ООО «Альчанец» (ИНН 1420041932) к ООО НАС НС «Сулус» (ИНН 1435260856) в сумме 28 500,00 руб., установленное определением Арбитражного суда Республики Саха (Якутия) от 19 октября 2020 года по делу № А58-5028/2016</w:t>
      </w:r>
    </w:p>
    <w:p w14:paraId="7D5D1BC0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77FE7E79" w14:textId="7605083B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28 500</w:t>
      </w:r>
      <w:r w:rsidRPr="00BB6EE7">
        <w:rPr>
          <w:color w:val="000000"/>
        </w:rPr>
        <w:t xml:space="preserve"> (</w:t>
      </w:r>
      <w:r>
        <w:rPr>
          <w:color w:val="000000"/>
        </w:rPr>
        <w:t>Двадцать восемь тысяч пятьсот</w:t>
      </w:r>
      <w:r w:rsidRPr="00BB6EE7">
        <w:rPr>
          <w:color w:val="000000"/>
        </w:rPr>
        <w:t xml:space="preserve">) </w:t>
      </w:r>
      <w:r w:rsidRPr="008751C2">
        <w:rPr>
          <w:b/>
          <w:bCs/>
          <w:color w:val="0070C0"/>
        </w:rPr>
        <w:t>руб. 00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7946CD2F" w14:textId="3E0C9C3A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3F67CB">
        <w:rPr>
          <w:b/>
          <w:bCs/>
          <w:color w:val="0070C0"/>
        </w:rPr>
        <w:t>5 700</w:t>
      </w:r>
      <w:r w:rsidRPr="008751C2">
        <w:rPr>
          <w:bCs/>
          <w:color w:val="0070C0"/>
        </w:rPr>
        <w:t xml:space="preserve"> </w:t>
      </w:r>
      <w:r w:rsidRPr="00BB6EE7">
        <w:rPr>
          <w:bCs/>
        </w:rPr>
        <w:t>(</w:t>
      </w:r>
      <w:r w:rsidR="003F67CB">
        <w:rPr>
          <w:bCs/>
        </w:rPr>
        <w:t>Пять тысяч семьсот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>руб. 00 коп.</w:t>
      </w:r>
    </w:p>
    <w:p w14:paraId="2C3A6D33" w14:textId="7AB45689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3F67CB">
        <w:rPr>
          <w:b/>
          <w:bCs/>
          <w:color w:val="0070C0"/>
        </w:rPr>
        <w:t>1 425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3F67CB">
        <w:rPr>
          <w:bCs/>
        </w:rPr>
        <w:t>Одна тысяча четыреста двадцать пять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3F67CB">
        <w:rPr>
          <w:b/>
          <w:bCs/>
          <w:color w:val="0070C0"/>
        </w:rPr>
        <w:t>0</w:t>
      </w:r>
      <w:r w:rsidRPr="008751C2">
        <w:rPr>
          <w:b/>
          <w:bCs/>
          <w:color w:val="0070C0"/>
        </w:rPr>
        <w:t>0 коп.</w:t>
      </w:r>
    </w:p>
    <w:p w14:paraId="5A828D66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5D775C44" w14:textId="087DA61B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3</w:t>
      </w:r>
    </w:p>
    <w:p w14:paraId="41820345" w14:textId="35FC29D5" w:rsidR="008751C2" w:rsidRPr="008751C2" w:rsidRDefault="008751C2" w:rsidP="008751C2">
      <w:pPr>
        <w:ind w:firstLine="567"/>
        <w:rPr>
          <w:lang w:eastAsia="en-US"/>
        </w:rPr>
      </w:pPr>
      <w:r>
        <w:rPr>
          <w:lang w:eastAsia="en-US"/>
        </w:rPr>
        <w:lastRenderedPageBreak/>
        <w:t>П</w:t>
      </w:r>
      <w:r w:rsidRPr="008751C2">
        <w:rPr>
          <w:lang w:eastAsia="en-US"/>
        </w:rPr>
        <w:t xml:space="preserve">раво требования ООО «Альчанец» (ИНН 1420041932) к ООО «Интах» (ИНН 1420005204) в право требования ООО «Альчанец» (ИНН 1420041932) сумме 20 944,81 руб., установленное определением Арбитражного суда Республики Саха (Якутия) от 26 октября 2020 года по делу № А58-5028/2016 </w:t>
      </w:r>
    </w:p>
    <w:p w14:paraId="079ED622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73898015" w14:textId="616CE8FF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20 944</w:t>
      </w:r>
      <w:r w:rsidRPr="00BB6EE7">
        <w:rPr>
          <w:color w:val="000000"/>
        </w:rPr>
        <w:t xml:space="preserve"> (</w:t>
      </w:r>
      <w:r>
        <w:rPr>
          <w:color w:val="000000"/>
        </w:rPr>
        <w:t>Двадцать тысяч девятьсот сорок четыре)</w:t>
      </w:r>
      <w:r w:rsidRPr="00BB6EE7">
        <w:rPr>
          <w:color w:val="000000"/>
        </w:rPr>
        <w:t xml:space="preserve"> </w:t>
      </w:r>
      <w:r w:rsidRPr="008751C2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81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7D03AC7F" w14:textId="5A12B0FE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3F67CB">
        <w:rPr>
          <w:b/>
          <w:bCs/>
          <w:color w:val="0070C0"/>
        </w:rPr>
        <w:t>4 188</w:t>
      </w:r>
      <w:r w:rsidRPr="008751C2">
        <w:rPr>
          <w:bCs/>
          <w:color w:val="0070C0"/>
        </w:rPr>
        <w:t xml:space="preserve"> </w:t>
      </w:r>
      <w:r w:rsidRPr="00BB6EE7">
        <w:rPr>
          <w:bCs/>
        </w:rPr>
        <w:t>(</w:t>
      </w:r>
      <w:r w:rsidR="003F67CB">
        <w:rPr>
          <w:bCs/>
        </w:rPr>
        <w:t xml:space="preserve">Четыре </w:t>
      </w:r>
      <w:r>
        <w:rPr>
          <w:bCs/>
        </w:rPr>
        <w:t>тысяч</w:t>
      </w:r>
      <w:r w:rsidR="003F67CB">
        <w:rPr>
          <w:bCs/>
        </w:rPr>
        <w:t>и сто восемьдесят восемь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8D5798">
        <w:rPr>
          <w:b/>
          <w:bCs/>
          <w:color w:val="0070C0"/>
        </w:rPr>
        <w:t>96</w:t>
      </w:r>
      <w:r w:rsidRPr="008751C2">
        <w:rPr>
          <w:b/>
          <w:bCs/>
          <w:color w:val="0070C0"/>
        </w:rPr>
        <w:t xml:space="preserve"> коп.</w:t>
      </w:r>
    </w:p>
    <w:p w14:paraId="10FD828B" w14:textId="354EA9D5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8D5798">
        <w:rPr>
          <w:b/>
          <w:bCs/>
          <w:color w:val="0070C0"/>
        </w:rPr>
        <w:t>1 047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8D5798">
        <w:rPr>
          <w:bCs/>
        </w:rPr>
        <w:t>Одна тысяча сорок семь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8D5798">
        <w:rPr>
          <w:b/>
          <w:bCs/>
          <w:color w:val="0070C0"/>
        </w:rPr>
        <w:t>24</w:t>
      </w:r>
      <w:r w:rsidRPr="008751C2">
        <w:rPr>
          <w:b/>
          <w:bCs/>
          <w:color w:val="0070C0"/>
        </w:rPr>
        <w:t xml:space="preserve"> коп.</w:t>
      </w:r>
    </w:p>
    <w:p w14:paraId="05045A03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12FDD8CB" w14:textId="025033B5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 w:rsidR="000D5BFC">
        <w:rPr>
          <w:b/>
          <w:bCs/>
          <w:color w:val="0070C0"/>
        </w:rPr>
        <w:t>4</w:t>
      </w:r>
    </w:p>
    <w:p w14:paraId="5F4F3B7F" w14:textId="656385D9" w:rsidR="000D5BFC" w:rsidRDefault="000D5BFC" w:rsidP="000D5BFC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- Право требования ООО «Альчанец» (ИНН 1420041932) к ООО «Литос» (ИНН 1420002972) в сумме 569 017,21 руб., установленное определением Арбитражного суда Республики Саха (Якутия) от 26 октября 2020 года по делу № А58-5028/2016 </w:t>
      </w:r>
    </w:p>
    <w:p w14:paraId="7DAA534C" w14:textId="06F57F22" w:rsidR="000D5BFC" w:rsidRDefault="000D5BFC" w:rsidP="000D5BFC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- Право требования ООО «Альчанец» (ИНН 1420041932) к ООО «Литос» (ИНН 1420002972) в сумме 950 000,00 руб., установленное определением Арбитражного суда Республики Саха (Якутия) от 16 июля 2020 года по делу № А58-5028/2016 </w:t>
      </w:r>
    </w:p>
    <w:p w14:paraId="5C08E164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5BBBAF0A" w14:textId="5AA8EECA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Pr="008751C2">
        <w:rPr>
          <w:b/>
          <w:bCs/>
          <w:color w:val="0070C0"/>
        </w:rPr>
        <w:t>1</w:t>
      </w:r>
      <w:r w:rsidR="006461AC">
        <w:rPr>
          <w:b/>
          <w:bCs/>
          <w:color w:val="0070C0"/>
        </w:rPr>
        <w:t> 519 017</w:t>
      </w:r>
      <w:r w:rsidRPr="00BB6EE7">
        <w:rPr>
          <w:color w:val="000000"/>
        </w:rPr>
        <w:t xml:space="preserve"> (</w:t>
      </w:r>
      <w:r>
        <w:rPr>
          <w:color w:val="000000"/>
        </w:rPr>
        <w:t xml:space="preserve">Один миллион </w:t>
      </w:r>
      <w:r w:rsidR="006461AC">
        <w:rPr>
          <w:color w:val="000000"/>
        </w:rPr>
        <w:t xml:space="preserve">пятьсот девятнадцать </w:t>
      </w:r>
      <w:r>
        <w:rPr>
          <w:color w:val="000000"/>
        </w:rPr>
        <w:t xml:space="preserve">тысяч </w:t>
      </w:r>
      <w:r w:rsidR="006461AC">
        <w:rPr>
          <w:color w:val="000000"/>
        </w:rPr>
        <w:t>семнадцать</w:t>
      </w:r>
      <w:r w:rsidRPr="00BB6EE7"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6461AC">
        <w:rPr>
          <w:b/>
          <w:bCs/>
          <w:color w:val="0070C0"/>
        </w:rPr>
        <w:t>21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4A36FA2F" w14:textId="3EEEFFE7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8D5798">
        <w:rPr>
          <w:b/>
          <w:bCs/>
          <w:color w:val="0070C0"/>
        </w:rPr>
        <w:t xml:space="preserve">303 803 </w:t>
      </w:r>
      <w:r w:rsidRPr="00BB6EE7">
        <w:rPr>
          <w:bCs/>
        </w:rPr>
        <w:t>(</w:t>
      </w:r>
      <w:r w:rsidR="008D5798">
        <w:rPr>
          <w:bCs/>
        </w:rPr>
        <w:t>Триста три тысячи восемьсот три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8D5798">
        <w:rPr>
          <w:b/>
          <w:bCs/>
          <w:color w:val="0070C0"/>
        </w:rPr>
        <w:t>44</w:t>
      </w:r>
      <w:r w:rsidRPr="008751C2">
        <w:rPr>
          <w:b/>
          <w:bCs/>
          <w:color w:val="0070C0"/>
        </w:rPr>
        <w:t xml:space="preserve"> коп.</w:t>
      </w:r>
    </w:p>
    <w:p w14:paraId="3A28B7F7" w14:textId="29B210C0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8D5798">
        <w:rPr>
          <w:b/>
          <w:bCs/>
          <w:color w:val="0070C0"/>
        </w:rPr>
        <w:t>75</w:t>
      </w:r>
      <w:r w:rsidRPr="008751C2">
        <w:rPr>
          <w:b/>
          <w:bCs/>
          <w:color w:val="0070C0"/>
        </w:rPr>
        <w:t xml:space="preserve"> </w:t>
      </w:r>
      <w:r w:rsidR="008D5798">
        <w:rPr>
          <w:b/>
          <w:bCs/>
          <w:color w:val="0070C0"/>
        </w:rPr>
        <w:t>950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8D5798">
        <w:rPr>
          <w:bCs/>
        </w:rPr>
        <w:t>Семьдесят пять тысяч девятьсот пятьдесят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8D5798">
        <w:rPr>
          <w:b/>
          <w:bCs/>
          <w:color w:val="0070C0"/>
        </w:rPr>
        <w:t>86</w:t>
      </w:r>
      <w:r w:rsidRPr="008751C2">
        <w:rPr>
          <w:b/>
          <w:bCs/>
          <w:color w:val="0070C0"/>
        </w:rPr>
        <w:t xml:space="preserve"> коп.</w:t>
      </w:r>
    </w:p>
    <w:p w14:paraId="1E1D7B5A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0893BFA8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272C3486" w14:textId="5B394047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 w:rsidR="006461AC">
        <w:rPr>
          <w:b/>
          <w:bCs/>
          <w:color w:val="0070C0"/>
        </w:rPr>
        <w:t>5</w:t>
      </w:r>
    </w:p>
    <w:p w14:paraId="2F3B22E6" w14:textId="19171EB1" w:rsidR="006461AC" w:rsidRPr="006461AC" w:rsidRDefault="008751C2" w:rsidP="006461AC">
      <w:pPr>
        <w:ind w:firstLine="567"/>
        <w:rPr>
          <w:lang w:eastAsia="en-US"/>
        </w:rPr>
      </w:pPr>
      <w:r>
        <w:rPr>
          <w:lang w:eastAsia="en-US"/>
        </w:rPr>
        <w:t>П</w:t>
      </w:r>
      <w:r w:rsidR="006461AC" w:rsidRPr="006461AC">
        <w:rPr>
          <w:lang w:eastAsia="en-US"/>
        </w:rPr>
        <w:t xml:space="preserve">раво требования ООО «Альчанец» (ИНН 1420041932) к ООО «Берген» (ИНН 1420000421) в сумме 57 342 425,36 руб., установленное определением Арбитражного суда Республики Саха (Якутия) от 05 ноября 2020 года по делу № А58-5028/2016, оставленном без изменений постановлением Четвертого арбитражного апелляционного суда от 15 января 2021 год по делу № А58-5028/2016 </w:t>
      </w:r>
    </w:p>
    <w:p w14:paraId="0667CDD1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574F7496" w14:textId="4E0249BF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6461AC">
        <w:rPr>
          <w:b/>
          <w:bCs/>
          <w:color w:val="0070C0"/>
        </w:rPr>
        <w:t>57 342 425</w:t>
      </w:r>
      <w:r w:rsidRPr="00BB6EE7">
        <w:rPr>
          <w:color w:val="000000"/>
        </w:rPr>
        <w:t xml:space="preserve"> (</w:t>
      </w:r>
      <w:r w:rsidR="006461AC">
        <w:rPr>
          <w:color w:val="000000"/>
        </w:rPr>
        <w:t>Пятьдесят семь миллионов триста сорок две тысячи четыреста двадцать пять</w:t>
      </w:r>
      <w:r w:rsidRPr="00BB6EE7">
        <w:rPr>
          <w:color w:val="000000"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6461AC">
        <w:rPr>
          <w:b/>
          <w:bCs/>
          <w:color w:val="0070C0"/>
        </w:rPr>
        <w:t>36</w:t>
      </w:r>
      <w:r w:rsidRPr="008751C2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1E387809" w14:textId="36762D1A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Pr="008751C2">
        <w:rPr>
          <w:b/>
          <w:bCs/>
          <w:color w:val="0070C0"/>
        </w:rPr>
        <w:t>1</w:t>
      </w:r>
      <w:r w:rsidR="008D5798">
        <w:rPr>
          <w:b/>
          <w:bCs/>
          <w:color w:val="0070C0"/>
        </w:rPr>
        <w:t xml:space="preserve">1 468 485 </w:t>
      </w:r>
      <w:r w:rsidRPr="00BB6EE7">
        <w:rPr>
          <w:bCs/>
        </w:rPr>
        <w:t>(</w:t>
      </w:r>
      <w:r w:rsidR="008D5798">
        <w:rPr>
          <w:bCs/>
        </w:rPr>
        <w:t>Одиннадцать миллионов четыреста шестьдесят восемь ты</w:t>
      </w:r>
      <w:r>
        <w:rPr>
          <w:bCs/>
        </w:rPr>
        <w:t xml:space="preserve">сяч </w:t>
      </w:r>
      <w:r w:rsidR="008D5798">
        <w:rPr>
          <w:bCs/>
        </w:rPr>
        <w:t>четыреста восемьдесят пять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>руб. 0</w:t>
      </w:r>
      <w:r w:rsidR="008D5798">
        <w:rPr>
          <w:b/>
          <w:bCs/>
          <w:color w:val="0070C0"/>
        </w:rPr>
        <w:t>7</w:t>
      </w:r>
      <w:r w:rsidRPr="008751C2">
        <w:rPr>
          <w:b/>
          <w:bCs/>
          <w:color w:val="0070C0"/>
        </w:rPr>
        <w:t xml:space="preserve"> коп.</w:t>
      </w:r>
    </w:p>
    <w:p w14:paraId="7761A711" w14:textId="76B7DD3E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8D5798">
        <w:rPr>
          <w:b/>
          <w:bCs/>
          <w:color w:val="0070C0"/>
        </w:rPr>
        <w:t>2 867 121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8D5798">
        <w:rPr>
          <w:bCs/>
        </w:rPr>
        <w:t xml:space="preserve">Два миллиона восемьсот шестьдесят семь </w:t>
      </w:r>
      <w:r>
        <w:rPr>
          <w:bCs/>
        </w:rPr>
        <w:t xml:space="preserve">тысяч </w:t>
      </w:r>
      <w:r w:rsidR="008D5798">
        <w:rPr>
          <w:bCs/>
        </w:rPr>
        <w:t>сто двадцать один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8D5798">
        <w:rPr>
          <w:b/>
          <w:bCs/>
          <w:color w:val="0070C0"/>
        </w:rPr>
        <w:t>27</w:t>
      </w:r>
      <w:r w:rsidRPr="008751C2">
        <w:rPr>
          <w:b/>
          <w:bCs/>
          <w:color w:val="0070C0"/>
        </w:rPr>
        <w:t xml:space="preserve"> коп.</w:t>
      </w:r>
    </w:p>
    <w:p w14:paraId="742A5D18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42C2654B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36B4C41D" w14:textId="0ACC4637" w:rsidR="008751C2" w:rsidRPr="008751C2" w:rsidRDefault="008751C2" w:rsidP="008751C2">
      <w:pPr>
        <w:ind w:firstLine="567"/>
        <w:jc w:val="both"/>
        <w:rPr>
          <w:b/>
          <w:bCs/>
          <w:color w:val="0070C0"/>
        </w:rPr>
      </w:pPr>
      <w:r w:rsidRPr="008751C2">
        <w:rPr>
          <w:b/>
          <w:bCs/>
          <w:color w:val="0070C0"/>
        </w:rPr>
        <w:t>Лот №</w:t>
      </w:r>
      <w:r w:rsidR="006461AC">
        <w:rPr>
          <w:b/>
          <w:bCs/>
          <w:color w:val="0070C0"/>
        </w:rPr>
        <w:t>6</w:t>
      </w:r>
    </w:p>
    <w:p w14:paraId="4FD46C85" w14:textId="26377469" w:rsidR="008751C2" w:rsidRDefault="008751C2" w:rsidP="008751C2">
      <w:pPr>
        <w:ind w:firstLine="567"/>
        <w:jc w:val="both"/>
        <w:rPr>
          <w:lang w:eastAsia="en-US"/>
        </w:rPr>
      </w:pPr>
      <w:r>
        <w:rPr>
          <w:lang w:eastAsia="en-US"/>
        </w:rPr>
        <w:t>П</w:t>
      </w:r>
      <w:r w:rsidR="006461AC" w:rsidRPr="006461AC">
        <w:rPr>
          <w:lang w:eastAsia="en-US"/>
        </w:rPr>
        <w:t xml:space="preserve">раво требования ООО «Альчанец» (ИНН 1420041932) к ООО «УК «МЕГАПОЛИС» (ИНН 9717047104) в сумме 7 798 387,00 руб., установленное определением Арбитражного суда Республики Саха (Якутия) от 28 октября 2021 года по делу № А58-5028/2016 </w:t>
      </w:r>
    </w:p>
    <w:p w14:paraId="2353F7F2" w14:textId="77777777" w:rsidR="008751C2" w:rsidRDefault="008751C2" w:rsidP="008751C2">
      <w:pPr>
        <w:ind w:firstLine="567"/>
        <w:jc w:val="both"/>
        <w:rPr>
          <w:rFonts w:eastAsia="Times New Roman"/>
        </w:rPr>
      </w:pPr>
    </w:p>
    <w:p w14:paraId="675BB948" w14:textId="72F8A34C" w:rsidR="008751C2" w:rsidRPr="00BB6EE7" w:rsidRDefault="008751C2" w:rsidP="008751C2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6461AC">
        <w:rPr>
          <w:b/>
          <w:bCs/>
          <w:color w:val="0070C0"/>
        </w:rPr>
        <w:t>7 798 387</w:t>
      </w:r>
      <w:r w:rsidRPr="00BB6EE7">
        <w:rPr>
          <w:color w:val="000000"/>
        </w:rPr>
        <w:t xml:space="preserve"> (</w:t>
      </w:r>
      <w:r w:rsidR="006461AC">
        <w:rPr>
          <w:color w:val="000000"/>
        </w:rPr>
        <w:t xml:space="preserve">Семь </w:t>
      </w:r>
      <w:r>
        <w:rPr>
          <w:color w:val="000000"/>
        </w:rPr>
        <w:t xml:space="preserve">миллион семьсот </w:t>
      </w:r>
      <w:r w:rsidR="006461AC">
        <w:rPr>
          <w:color w:val="000000"/>
        </w:rPr>
        <w:t xml:space="preserve">девяносто восемь </w:t>
      </w:r>
      <w:r>
        <w:rPr>
          <w:color w:val="000000"/>
        </w:rPr>
        <w:t xml:space="preserve">тысяч </w:t>
      </w:r>
      <w:r w:rsidR="006461AC">
        <w:rPr>
          <w:color w:val="000000"/>
        </w:rPr>
        <w:t>триста восемьдесят семь</w:t>
      </w:r>
      <w:r w:rsidRPr="00BB6EE7">
        <w:rPr>
          <w:color w:val="000000"/>
        </w:rPr>
        <w:t xml:space="preserve">) </w:t>
      </w:r>
      <w:r w:rsidRPr="008751C2">
        <w:rPr>
          <w:b/>
          <w:bCs/>
          <w:color w:val="0070C0"/>
        </w:rPr>
        <w:t>руб. 00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44DFEC1A" w14:textId="42F1C338" w:rsidR="008751C2" w:rsidRPr="00BB6EE7" w:rsidRDefault="008751C2" w:rsidP="008751C2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Pr="008751C2">
        <w:rPr>
          <w:b/>
          <w:bCs/>
          <w:color w:val="0070C0"/>
        </w:rPr>
        <w:t>1</w:t>
      </w:r>
      <w:r w:rsidR="008D5798">
        <w:rPr>
          <w:b/>
          <w:bCs/>
          <w:color w:val="0070C0"/>
        </w:rPr>
        <w:t> 559 677</w:t>
      </w:r>
      <w:r w:rsidRPr="008751C2">
        <w:rPr>
          <w:bCs/>
          <w:color w:val="0070C0"/>
        </w:rPr>
        <w:t xml:space="preserve"> </w:t>
      </w:r>
      <w:r w:rsidRPr="00BB6EE7">
        <w:rPr>
          <w:bCs/>
        </w:rPr>
        <w:t>(</w:t>
      </w:r>
      <w:r w:rsidR="008D5798">
        <w:rPr>
          <w:bCs/>
        </w:rPr>
        <w:t xml:space="preserve">Один миллион пятьсот пятьдесят девять </w:t>
      </w:r>
      <w:r>
        <w:rPr>
          <w:bCs/>
        </w:rPr>
        <w:t xml:space="preserve">тысяч </w:t>
      </w:r>
      <w:r w:rsidR="008D5798">
        <w:rPr>
          <w:bCs/>
        </w:rPr>
        <w:t>шестьсот семьдесят семь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8D5798">
        <w:rPr>
          <w:b/>
          <w:bCs/>
          <w:color w:val="0070C0"/>
        </w:rPr>
        <w:t>4</w:t>
      </w:r>
      <w:r w:rsidRPr="008751C2">
        <w:rPr>
          <w:b/>
          <w:bCs/>
          <w:color w:val="0070C0"/>
        </w:rPr>
        <w:t>0 коп.</w:t>
      </w:r>
    </w:p>
    <w:p w14:paraId="5D717F54" w14:textId="03248481" w:rsidR="008751C2" w:rsidRPr="008751C2" w:rsidRDefault="008751C2" w:rsidP="008751C2">
      <w:pPr>
        <w:jc w:val="both"/>
        <w:rPr>
          <w:b/>
          <w:bCs/>
          <w:color w:val="0070C0"/>
        </w:rPr>
      </w:pPr>
      <w:r w:rsidRPr="00BB6EE7">
        <w:rPr>
          <w:b/>
          <w:bCs/>
        </w:rPr>
        <w:t xml:space="preserve">Шаг аукциона на повышение: </w:t>
      </w:r>
      <w:r w:rsidR="008D5798">
        <w:rPr>
          <w:b/>
          <w:bCs/>
          <w:color w:val="0070C0"/>
        </w:rPr>
        <w:t>389 919</w:t>
      </w:r>
      <w:r w:rsidRPr="008751C2">
        <w:rPr>
          <w:bCs/>
          <w:color w:val="0070C0"/>
        </w:rPr>
        <w:t xml:space="preserve"> </w:t>
      </w:r>
      <w:r>
        <w:rPr>
          <w:bCs/>
        </w:rPr>
        <w:t>(</w:t>
      </w:r>
      <w:r w:rsidR="008D5798">
        <w:rPr>
          <w:bCs/>
        </w:rPr>
        <w:t xml:space="preserve">Триста восемьдесят девять </w:t>
      </w:r>
      <w:r>
        <w:rPr>
          <w:bCs/>
        </w:rPr>
        <w:t xml:space="preserve">тысяч </w:t>
      </w:r>
      <w:r w:rsidR="008D5798">
        <w:rPr>
          <w:bCs/>
        </w:rPr>
        <w:t>девятьсот девятнадцать</w:t>
      </w:r>
      <w:r>
        <w:rPr>
          <w:bCs/>
        </w:rPr>
        <w:t xml:space="preserve">) </w:t>
      </w:r>
      <w:r w:rsidRPr="008751C2">
        <w:rPr>
          <w:b/>
          <w:bCs/>
          <w:color w:val="0070C0"/>
        </w:rPr>
        <w:t xml:space="preserve">руб. </w:t>
      </w:r>
      <w:r w:rsidR="00D7286C">
        <w:rPr>
          <w:b/>
          <w:bCs/>
          <w:color w:val="0070C0"/>
        </w:rPr>
        <w:t>35</w:t>
      </w:r>
      <w:r w:rsidRPr="008751C2">
        <w:rPr>
          <w:b/>
          <w:bCs/>
          <w:color w:val="0070C0"/>
        </w:rPr>
        <w:t xml:space="preserve"> коп.</w:t>
      </w:r>
    </w:p>
    <w:p w14:paraId="0DECBE79" w14:textId="77777777" w:rsidR="008751C2" w:rsidRDefault="008751C2" w:rsidP="00E240B3">
      <w:pPr>
        <w:ind w:firstLine="567"/>
        <w:jc w:val="both"/>
        <w:rPr>
          <w:b/>
          <w:bCs/>
        </w:rPr>
      </w:pPr>
    </w:p>
    <w:p w14:paraId="48175ED3" w14:textId="77777777" w:rsidR="00E240B3" w:rsidRDefault="00E240B3" w:rsidP="00E240B3">
      <w:pPr>
        <w:ind w:firstLine="567"/>
        <w:jc w:val="both"/>
        <w:rPr>
          <w:rFonts w:eastAsia="Times New Roman"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77777777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5C361B1" w14:textId="77777777" w:rsidR="00854DC7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30D8B">
        <w:rPr>
          <w:color w:val="auto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38783F7" w14:textId="77777777" w:rsidR="00854DC7" w:rsidRPr="00214A63" w:rsidRDefault="00854DC7" w:rsidP="00854DC7">
      <w:pPr>
        <w:pStyle w:val="a7"/>
        <w:spacing w:line="240" w:lineRule="auto"/>
        <w:ind w:right="-29"/>
        <w:jc w:val="right"/>
        <w:rPr>
          <w:rFonts w:ascii="Arial" w:hAnsi="Arial" w:cs="Arial"/>
          <w:color w:val="FF0000"/>
          <w:sz w:val="21"/>
          <w:szCs w:val="21"/>
        </w:rPr>
      </w:pPr>
    </w:p>
    <w:p w14:paraId="70DE6B33" w14:textId="77777777" w:rsidR="00854DC7" w:rsidRPr="00F30D8B" w:rsidRDefault="00854DC7" w:rsidP="00854DC7">
      <w:pPr>
        <w:ind w:right="60" w:firstLine="567"/>
        <w:jc w:val="both"/>
        <w:rPr>
          <w:b/>
          <w:bCs/>
        </w:rPr>
      </w:pPr>
      <w:r w:rsidRPr="00F30D8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1FC386E1" w14:textId="77777777" w:rsidR="00854DC7" w:rsidRPr="008751C7" w:rsidRDefault="00854DC7" w:rsidP="00854DC7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40702810855230001547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2B1A2940" w14:textId="77777777" w:rsidR="00854DC7" w:rsidRDefault="00854DC7" w:rsidP="00854DC7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№ 40702810100050004773 в Северо-западном филиале ПАО «Банк «ФК Открытие» в г. Санкт-Петербург, к/с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30101810540300000795, БИК 044030795</w:t>
      </w:r>
    </w:p>
    <w:p w14:paraId="25AD48FA" w14:textId="20A75340" w:rsidR="00854DC7" w:rsidRPr="00EB5A31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</w:t>
      </w:r>
      <w:r w:rsidRPr="00EB5A3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</w:t>
      </w:r>
      <w:r w:rsidR="0015070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6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(МСК)  </w:t>
      </w:r>
      <w:r w:rsidR="00E34E9B" w:rsidRPr="00E34E9B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15 августа</w:t>
      </w:r>
      <w:r w:rsidR="00EC1C9A"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</w:t>
      </w:r>
      <w:r w:rsidR="00150706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 w:rsidRPr="008B56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03D578AA" w14:textId="68CB316B" w:rsidR="00854DC7" w:rsidRPr="008452DD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</w:t>
      </w:r>
      <w:r w:rsidR="00E34E9B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указать </w:t>
      </w: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F82BD11" w14:textId="77777777" w:rsidR="00854DC7" w:rsidRPr="00757FE8" w:rsidRDefault="00854DC7" w:rsidP="00854DC7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lastRenderedPageBreak/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9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59C0E91" w14:textId="77777777" w:rsidR="00854DC7" w:rsidRPr="00F30D8B" w:rsidRDefault="00854DC7" w:rsidP="00854DC7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EE79EE7" w14:textId="77777777" w:rsidR="00854DC7" w:rsidRPr="00F30D8B" w:rsidRDefault="00854DC7" w:rsidP="00854DC7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66C7CFAB" w14:textId="77777777" w:rsidR="00854DC7" w:rsidRPr="00F30D8B" w:rsidRDefault="00854DC7" w:rsidP="00854DC7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1A76C577" w14:textId="77777777" w:rsidR="00854DC7" w:rsidRPr="00F30D8B" w:rsidRDefault="00854DC7" w:rsidP="00854DC7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98220C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702F3A44" w14:textId="77777777" w:rsidR="00854DC7" w:rsidRPr="00F30D8B" w:rsidRDefault="00854DC7" w:rsidP="00854DC7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41A99BBD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E34E9B">
        <w:rPr>
          <w:b/>
          <w:bCs/>
          <w:color w:val="0070C0"/>
          <w:u w:val="single"/>
        </w:rPr>
        <w:t>11</w:t>
      </w:r>
      <w:r w:rsidR="00BB6EE7">
        <w:rPr>
          <w:b/>
          <w:bCs/>
          <w:color w:val="0070C0"/>
          <w:u w:val="single"/>
        </w:rPr>
        <w:t xml:space="preserve"> </w:t>
      </w:r>
      <w:r w:rsidR="00E34E9B">
        <w:rPr>
          <w:b/>
          <w:bCs/>
          <w:color w:val="0070C0"/>
          <w:u w:val="single"/>
        </w:rPr>
        <w:t>июля</w:t>
      </w:r>
      <w:r w:rsidRPr="00BB6EE7">
        <w:rPr>
          <w:b/>
          <w:bCs/>
          <w:color w:val="0070C0"/>
          <w:u w:val="single"/>
        </w:rPr>
        <w:t xml:space="preserve"> 202</w:t>
      </w:r>
      <w:r w:rsidR="00E34E9B">
        <w:rPr>
          <w:b/>
          <w:bCs/>
          <w:color w:val="0070C0"/>
          <w:u w:val="single"/>
        </w:rPr>
        <w:t>2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1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1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lastRenderedPageBreak/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6222BDFC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9DF622F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Договор купли-продажи заключается между собственником и победителем аукциона в течение </w:t>
      </w:r>
      <w:r w:rsidRPr="003277A3">
        <w:rPr>
          <w:b/>
          <w:bCs/>
        </w:rPr>
        <w:t xml:space="preserve">10 (десяти) </w:t>
      </w:r>
      <w:r w:rsidRPr="00CC799D">
        <w:rPr>
          <w:b/>
          <w:bCs/>
        </w:rPr>
        <w:t xml:space="preserve">дней после подведения итогов торгов, в соответствии с формой, размещенной на сайте www.lot-online.ru в разделе «карточка лота». </w:t>
      </w:r>
    </w:p>
    <w:p w14:paraId="39C685A8" w14:textId="5E89F20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рабочих дней, с даты признания аукциона несостоявшимся.</w:t>
      </w:r>
    </w:p>
    <w:p w14:paraId="10025D0B" w14:textId="2CE9379D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после заключения договора купли-продажи.</w:t>
      </w:r>
    </w:p>
    <w:p w14:paraId="45B82EC3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17784B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841383373">
    <w:abstractNumId w:val="14"/>
  </w:num>
  <w:num w:numId="2" w16cid:durableId="561913862">
    <w:abstractNumId w:val="20"/>
  </w:num>
  <w:num w:numId="3" w16cid:durableId="1119450317">
    <w:abstractNumId w:val="5"/>
  </w:num>
  <w:num w:numId="4" w16cid:durableId="1041899705">
    <w:abstractNumId w:val="9"/>
  </w:num>
  <w:num w:numId="5" w16cid:durableId="1452284996">
    <w:abstractNumId w:val="23"/>
  </w:num>
  <w:num w:numId="6" w16cid:durableId="1048724269">
    <w:abstractNumId w:val="8"/>
  </w:num>
  <w:num w:numId="7" w16cid:durableId="146213442">
    <w:abstractNumId w:val="18"/>
  </w:num>
  <w:num w:numId="8" w16cid:durableId="1376809041">
    <w:abstractNumId w:val="16"/>
  </w:num>
  <w:num w:numId="9" w16cid:durableId="265768187">
    <w:abstractNumId w:val="4"/>
  </w:num>
  <w:num w:numId="10" w16cid:durableId="1632786966">
    <w:abstractNumId w:val="6"/>
  </w:num>
  <w:num w:numId="11" w16cid:durableId="836269040">
    <w:abstractNumId w:val="25"/>
  </w:num>
  <w:num w:numId="12" w16cid:durableId="1423453541">
    <w:abstractNumId w:val="7"/>
  </w:num>
  <w:num w:numId="13" w16cid:durableId="454326068">
    <w:abstractNumId w:val="11"/>
  </w:num>
  <w:num w:numId="14" w16cid:durableId="951132072">
    <w:abstractNumId w:val="19"/>
  </w:num>
  <w:num w:numId="15" w16cid:durableId="644969309">
    <w:abstractNumId w:val="13"/>
  </w:num>
  <w:num w:numId="16" w16cid:durableId="1072778699">
    <w:abstractNumId w:val="2"/>
  </w:num>
  <w:num w:numId="17" w16cid:durableId="1998457446">
    <w:abstractNumId w:val="21"/>
  </w:num>
  <w:num w:numId="18" w16cid:durableId="1454443881">
    <w:abstractNumId w:val="17"/>
  </w:num>
  <w:num w:numId="19" w16cid:durableId="1460496677">
    <w:abstractNumId w:val="15"/>
  </w:num>
  <w:num w:numId="20" w16cid:durableId="1972513975">
    <w:abstractNumId w:val="24"/>
  </w:num>
  <w:num w:numId="21" w16cid:durableId="1357389706">
    <w:abstractNumId w:val="3"/>
  </w:num>
  <w:num w:numId="22" w16cid:durableId="643587162">
    <w:abstractNumId w:val="10"/>
  </w:num>
  <w:num w:numId="23" w16cid:durableId="126557097">
    <w:abstractNumId w:val="22"/>
  </w:num>
  <w:num w:numId="24" w16cid:durableId="761414787">
    <w:abstractNumId w:val="0"/>
  </w:num>
  <w:num w:numId="25" w16cid:durableId="405765009">
    <w:abstractNumId w:val="12"/>
  </w:num>
  <w:num w:numId="26" w16cid:durableId="116254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D5BFC"/>
    <w:rsid w:val="00150706"/>
    <w:rsid w:val="0017784B"/>
    <w:rsid w:val="00184790"/>
    <w:rsid w:val="001D7A9B"/>
    <w:rsid w:val="002D571C"/>
    <w:rsid w:val="002E73AC"/>
    <w:rsid w:val="003201A7"/>
    <w:rsid w:val="003277A3"/>
    <w:rsid w:val="003F67CB"/>
    <w:rsid w:val="00460277"/>
    <w:rsid w:val="004C459E"/>
    <w:rsid w:val="004D23F0"/>
    <w:rsid w:val="00597C43"/>
    <w:rsid w:val="005D4331"/>
    <w:rsid w:val="005E52CD"/>
    <w:rsid w:val="00613CCF"/>
    <w:rsid w:val="006461AC"/>
    <w:rsid w:val="00702538"/>
    <w:rsid w:val="00707B4A"/>
    <w:rsid w:val="007C3815"/>
    <w:rsid w:val="007E55D8"/>
    <w:rsid w:val="00825153"/>
    <w:rsid w:val="00854DC7"/>
    <w:rsid w:val="008751C2"/>
    <w:rsid w:val="008D5798"/>
    <w:rsid w:val="00927AB8"/>
    <w:rsid w:val="00A40D10"/>
    <w:rsid w:val="00AA7A77"/>
    <w:rsid w:val="00AF78EF"/>
    <w:rsid w:val="00B13F61"/>
    <w:rsid w:val="00B263AE"/>
    <w:rsid w:val="00B927CA"/>
    <w:rsid w:val="00BB6EE7"/>
    <w:rsid w:val="00C04170"/>
    <w:rsid w:val="00C74A5D"/>
    <w:rsid w:val="00C97B50"/>
    <w:rsid w:val="00D557B5"/>
    <w:rsid w:val="00D7286C"/>
    <w:rsid w:val="00D84905"/>
    <w:rsid w:val="00D93155"/>
    <w:rsid w:val="00DF48FA"/>
    <w:rsid w:val="00E240B3"/>
    <w:rsid w:val="00E34E9B"/>
    <w:rsid w:val="00E403F9"/>
    <w:rsid w:val="00E54FE2"/>
    <w:rsid w:val="00E96DEE"/>
    <w:rsid w:val="00EC1C9A"/>
    <w:rsid w:val="00F84880"/>
    <w:rsid w:val="00FD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1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7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26</cp:revision>
  <cp:lastPrinted>2021-07-19T03:16:00Z</cp:lastPrinted>
  <dcterms:created xsi:type="dcterms:W3CDTF">2020-05-19T01:22:00Z</dcterms:created>
  <dcterms:modified xsi:type="dcterms:W3CDTF">2022-07-05T08:42:00Z</dcterms:modified>
</cp:coreProperties>
</file>