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7B604833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22 августа</w:t>
      </w:r>
      <w:r w:rsidRPr="00530F2C">
        <w:rPr>
          <w:b/>
          <w:bCs/>
        </w:rPr>
        <w:t xml:space="preserve"> 2022 г. в 12:00</w:t>
      </w:r>
    </w:p>
    <w:p w14:paraId="37BED63F" w14:textId="77777777" w:rsidR="008F55E7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на электронной торговой площадке АО «Российский аукционный дом» </w:t>
      </w:r>
    </w:p>
    <w:p w14:paraId="2F2E0355" w14:textId="77777777" w:rsidR="008F55E7" w:rsidRPr="00530F2C" w:rsidRDefault="00000000" w:rsidP="008F55E7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8F55E7" w:rsidRPr="00F76743">
          <w:rPr>
            <w:rStyle w:val="a3"/>
            <w:b/>
            <w:bCs/>
          </w:rPr>
          <w:t>www.lot-online.ru</w:t>
        </w:r>
      </w:hyperlink>
      <w:r w:rsidR="008F55E7">
        <w:rPr>
          <w:b/>
          <w:bCs/>
        </w:rPr>
        <w:t xml:space="preserve"> (далее – ЭТП)</w:t>
      </w:r>
    </w:p>
    <w:p w14:paraId="1342A28F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7E62F0C8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34BC28A3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316FB1FC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>
        <w:rPr>
          <w:b/>
          <w:bCs/>
        </w:rPr>
        <w:t>12</w:t>
      </w:r>
      <w:r w:rsidRPr="00530F2C">
        <w:rPr>
          <w:b/>
          <w:bCs/>
        </w:rPr>
        <w:t xml:space="preserve">:00 </w:t>
      </w:r>
      <w:r>
        <w:rPr>
          <w:b/>
          <w:bCs/>
        </w:rPr>
        <w:t>22 июля</w:t>
      </w:r>
      <w:r w:rsidRPr="00530F2C">
        <w:rPr>
          <w:b/>
          <w:bCs/>
        </w:rPr>
        <w:t xml:space="preserve"> 2022 г. по </w:t>
      </w:r>
      <w:r>
        <w:rPr>
          <w:b/>
          <w:bCs/>
        </w:rPr>
        <w:t>18 августа</w:t>
      </w:r>
      <w:r w:rsidRPr="00530F2C">
        <w:rPr>
          <w:b/>
          <w:bCs/>
        </w:rPr>
        <w:t xml:space="preserve"> 2022 г. до 1</w:t>
      </w:r>
      <w:r>
        <w:rPr>
          <w:b/>
          <w:bCs/>
        </w:rPr>
        <w:t>8</w:t>
      </w:r>
      <w:r w:rsidRPr="00530F2C">
        <w:rPr>
          <w:b/>
          <w:bCs/>
        </w:rPr>
        <w:t>:00.</w:t>
      </w:r>
    </w:p>
    <w:p w14:paraId="250BCFF0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>
        <w:rPr>
          <w:b/>
          <w:bCs/>
        </w:rPr>
        <w:t>8</w:t>
      </w:r>
      <w:r w:rsidRPr="00530F2C">
        <w:rPr>
          <w:b/>
          <w:bCs/>
        </w:rPr>
        <w:t xml:space="preserve">:00 </w:t>
      </w:r>
      <w:r>
        <w:rPr>
          <w:b/>
          <w:bCs/>
        </w:rPr>
        <w:t>18 августа</w:t>
      </w:r>
      <w:r w:rsidRPr="00530F2C">
        <w:rPr>
          <w:b/>
          <w:bCs/>
        </w:rPr>
        <w:t xml:space="preserve"> 2022 г.</w:t>
      </w:r>
    </w:p>
    <w:p w14:paraId="5134F74A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>
        <w:rPr>
          <w:b/>
          <w:bCs/>
        </w:rPr>
        <w:t>19 августа</w:t>
      </w:r>
      <w:r w:rsidRPr="00530F2C">
        <w:rPr>
          <w:b/>
          <w:bCs/>
        </w:rPr>
        <w:t xml:space="preserve"> 2022 г.</w:t>
      </w:r>
    </w:p>
    <w:p w14:paraId="77FFA832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25E48FF6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C738557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>
        <w:t>ЭТП</w:t>
      </w:r>
      <w:r w:rsidRPr="00530F2C">
        <w:t>.</w:t>
      </w:r>
    </w:p>
    <w:p w14:paraId="06CF448F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5885CF48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>
        <w:t>понижения</w:t>
      </w:r>
      <w:r w:rsidRPr="00530F2C">
        <w:t xml:space="preserve"> начальной цены продажи («</w:t>
      </w:r>
      <w:r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5114455F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>ПАО «Казаньоргсинтез»</w:t>
      </w:r>
      <w:r w:rsidRPr="00137E01">
        <w:t>» (далее – Продавец) и продаются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EF71D11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75 004 +/- 192 кв. м., кадастровый №16:15:181301:1,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«актуальные, ранее учтенные».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дачного строительства». Ограничения и обременения: Ограничения прав на земельный участок, предусмотренные статьями 56, 56.1 Земельного кодекса РФ.</w:t>
      </w:r>
    </w:p>
    <w:p w14:paraId="1922F589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22 891 +/- 1 323,86 кв. м., кадастровый №16:15:181301:41,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41;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6D325305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142 053 +/- 3 298 кв. м., кадастровый №16:15:181301:129, адрес: установлено относительно ориентира, расположенного в границах участка, почтовый адрес </w:t>
      </w:r>
      <w:r w:rsidRPr="005E168B">
        <w:rPr>
          <w:rFonts w:eastAsia="Times New Roman" w:cs="Times New Roman"/>
          <w:lang w:eastAsia="ru-RU"/>
        </w:rPr>
        <w:lastRenderedPageBreak/>
        <w:t xml:space="preserve">ориентира: Российская Федерация, Республика Татарстан, Камско-Устьинский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Теньковское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д. </w:t>
      </w:r>
      <w:proofErr w:type="spellStart"/>
      <w:r w:rsidRPr="005E168B">
        <w:rPr>
          <w:rFonts w:eastAsia="Times New Roman" w:cs="Times New Roman"/>
          <w:lang w:eastAsia="ru-RU"/>
        </w:rPr>
        <w:t>Лабышка</w:t>
      </w:r>
      <w:proofErr w:type="spellEnd"/>
      <w:r w:rsidRPr="005E168B">
        <w:rPr>
          <w:rFonts w:eastAsia="Times New Roman" w:cs="Times New Roman"/>
          <w:lang w:eastAsia="ru-RU"/>
        </w:rPr>
        <w:t>, кв-л 181301, з/у 129; категория земель: земли сельскохозяйственного назначения, виды разрешенного использования: для сельскохозяйственного производства. Сведения об объекте недвижимости имеют статус «актуальные». Для данного земельного участка обеспечен доступ посредством земельных участков с кадастровыми №15:15:181301:7, №16:15:000000:248.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3EA7E73E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298 кв. м., назначение: жилой дом, кадастровый №16:15:181301:132, количество этажей, в т.ч. подземных: 2,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поселение, с. </w:t>
      </w:r>
      <w:proofErr w:type="spellStart"/>
      <w:r w:rsidRPr="005E168B">
        <w:rPr>
          <w:rFonts w:eastAsia="Times New Roman" w:cs="Times New Roman"/>
          <w:lang w:eastAsia="ru-RU"/>
        </w:rPr>
        <w:t>Шеланга</w:t>
      </w:r>
      <w:proofErr w:type="spellEnd"/>
      <w:r w:rsidRPr="005E168B">
        <w:rPr>
          <w:rFonts w:eastAsia="Times New Roman" w:cs="Times New Roman"/>
          <w:lang w:eastAsia="ru-RU"/>
        </w:rPr>
        <w:t xml:space="preserve"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A5F1C40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1 349 кв. м., назначение: жилой дом, кадастровый №16:15:181301:133, количество этажей, в т.ч. подземных: 2,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3DCB9E3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284 кв. м., назначение: жилой дом, кадастровый №16:15:181301:134, количество этажей, в т.ч. подземных: 1, адрес: Республика Татарстан, Верхнеуслонский муниципальный район, с. </w:t>
      </w:r>
      <w:proofErr w:type="spellStart"/>
      <w:r w:rsidRPr="005E168B">
        <w:rPr>
          <w:rFonts w:eastAsia="Times New Roman" w:cs="Times New Roman"/>
          <w:lang w:eastAsia="ru-RU"/>
        </w:rPr>
        <w:t>Шеланга</w:t>
      </w:r>
      <w:proofErr w:type="spellEnd"/>
      <w:r w:rsidRPr="005E168B">
        <w:rPr>
          <w:rFonts w:eastAsia="Times New Roman" w:cs="Times New Roman"/>
          <w:lang w:eastAsia="ru-RU"/>
        </w:rPr>
        <w:t xml:space="preserve"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7816B16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304 кв. м., назначение: нежилое здание, наименование: гараж, кадастровый №16:15:181301:140, количество этажей, в т.ч. подземных: 1, адрес: Республика Татарстан, Верхнеуслонский муниципальный район,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 xml:space="preserve"> сельское поселение. Сведения об объекте недвижимости имеют статус «актуальные». Сведения о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т.ч. подземных этажей отсутствует. </w:t>
      </w:r>
    </w:p>
    <w:p w14:paraId="4AF6134B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10,9 кв. м., назначение: нежилое здание, кадастровый №16:15:181301:141, количество этажей, в т.ч. подземных: 1, адрес: Республика Татарстан, Верхнеуслонский муниципальный район, с/п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>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«Здание», количеством этажей, в т.ч. подземных этажей отсутствует.</w:t>
      </w:r>
    </w:p>
    <w:p w14:paraId="5D4EF81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879 м., назначение: забор, наименование: забор, кадастровый №16:15:181301:142, адрес: Республика Татарстан, Верхнеуслонский муниципальный район, с/п </w:t>
      </w:r>
      <w:proofErr w:type="spellStart"/>
      <w:r w:rsidRPr="005E168B">
        <w:rPr>
          <w:rFonts w:eastAsia="Times New Roman" w:cs="Times New Roman"/>
          <w:lang w:eastAsia="ru-RU"/>
        </w:rPr>
        <w:t>Шеланговское</w:t>
      </w:r>
      <w:proofErr w:type="spellEnd"/>
      <w:r w:rsidRPr="005E168B">
        <w:rPr>
          <w:rFonts w:eastAsia="Times New Roman" w:cs="Times New Roman"/>
          <w:lang w:eastAsia="ru-RU"/>
        </w:rPr>
        <w:t>. Сведения об объекте недвижимости имеют статус «актуальные». Значение характеристики линейного сооружения – протяженность 878,56 м. округлено до 1 метра.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39906E03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578 м., кадастровый №16:15:000000:2125. Назначение: «иное сооружение» (сооружение газоснабжения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№16:15:181301:41). Наименование: </w:t>
      </w:r>
      <w:r w:rsidRPr="005E168B">
        <w:rPr>
          <w:rFonts w:eastAsia="Times New Roman" w:cs="Times New Roman"/>
          <w:lang w:eastAsia="ru-RU"/>
        </w:rPr>
        <w:lastRenderedPageBreak/>
        <w:t xml:space="preserve">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давления. Адрес: Верхнеуслонский муниципальный район, 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 от места врезки седловым отводом 110-63 в существующий </w:t>
      </w:r>
      <w:proofErr w:type="spellStart"/>
      <w:r w:rsidRPr="005E168B">
        <w:rPr>
          <w:rFonts w:eastAsia="Times New Roman" w:cs="Times New Roman"/>
          <w:lang w:eastAsia="ru-RU"/>
        </w:rPr>
        <w:t>г.с.д.О</w:t>
      </w:r>
      <w:proofErr w:type="spellEnd"/>
      <w:r w:rsidRPr="005E168B">
        <w:rPr>
          <w:rFonts w:eastAsia="Times New Roman" w:cs="Times New Roman"/>
          <w:lang w:eastAsia="ru-RU"/>
        </w:rPr>
        <w:t xml:space="preserve"> 110, проложенный к базе отдыха «Красный Восток», с установкой ПЭ крана О 63 в подземном исполнении до ГРШП-400-01. Сведения об объекте недвижимости имеют статус «актуальные».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418E5688" w14:textId="281D61AE" w:rsidR="002829E2" w:rsidRDefault="002829E2" w:rsidP="002829E2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2829E2">
        <w:rPr>
          <w:rFonts w:eastAsia="Times New Roman" w:cs="Times New Roman"/>
          <w:lang w:eastAsia="ru-RU"/>
        </w:rPr>
        <w:t>Иное имущество (на объекты недвижимости права не зарегистрированы, кадастровый номер отсутствует): Дом летчика, Хозяйственная постройка сборно-разборная, Благоустройство родника, Дорожно-</w:t>
      </w:r>
      <w:proofErr w:type="spellStart"/>
      <w:r w:rsidRPr="002829E2">
        <w:rPr>
          <w:rFonts w:eastAsia="Times New Roman" w:cs="Times New Roman"/>
          <w:lang w:eastAsia="ru-RU"/>
        </w:rPr>
        <w:t>тропиночная</w:t>
      </w:r>
      <w:proofErr w:type="spellEnd"/>
      <w:r w:rsidRPr="002829E2">
        <w:rPr>
          <w:rFonts w:eastAsia="Times New Roman" w:cs="Times New Roman"/>
          <w:lang w:eastAsia="ru-RU"/>
        </w:rPr>
        <w:t xml:space="preserve"> сеть (щебеночное покрытие), Система накопительных емкостей, Шпунтовая стена, Подпорная стена, Бетонная площадка, Дорожно-</w:t>
      </w:r>
      <w:proofErr w:type="spellStart"/>
      <w:r w:rsidRPr="002829E2">
        <w:rPr>
          <w:rFonts w:eastAsia="Times New Roman" w:cs="Times New Roman"/>
          <w:lang w:eastAsia="ru-RU"/>
        </w:rPr>
        <w:t>тропиночная</w:t>
      </w:r>
      <w:proofErr w:type="spellEnd"/>
      <w:r w:rsidRPr="002829E2">
        <w:rPr>
          <w:rFonts w:eastAsia="Times New Roman" w:cs="Times New Roman"/>
          <w:lang w:eastAsia="ru-RU"/>
        </w:rPr>
        <w:t xml:space="preserve"> сеть (бетонное покрытие), Забор из профнастила (протяженность 793 м), Наружное электроснабжение, Наружное электроосвещение территории, Наружная канализация, Наружные сети водопровода, Газопровод низкого давления</w:t>
      </w:r>
      <w:r w:rsidR="001652FC">
        <w:rPr>
          <w:rFonts w:eastAsia="Times New Roman" w:cs="Times New Roman"/>
          <w:lang w:eastAsia="ru-RU"/>
        </w:rPr>
        <w:t>.</w:t>
      </w:r>
      <w:r w:rsidRPr="002829E2">
        <w:rPr>
          <w:rFonts w:eastAsia="Times New Roman" w:cs="Times New Roman"/>
          <w:lang w:eastAsia="ru-RU"/>
        </w:rPr>
        <w:t xml:space="preserve"> Движимое имущество.</w:t>
      </w:r>
    </w:p>
    <w:p w14:paraId="4B8251CF" w14:textId="6910B8CC" w:rsidR="008F55E7" w:rsidRPr="00A637E7" w:rsidRDefault="008F55E7" w:rsidP="002829E2">
      <w:pPr>
        <w:ind w:right="-57" w:firstLine="567"/>
        <w:contextualSpacing/>
        <w:jc w:val="both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A637E7">
        <w:rPr>
          <w:rFonts w:eastAsia="Times New Roman" w:cs="Times New Roman"/>
          <w:b/>
          <w:i/>
          <w:iCs/>
          <w:color w:val="000000" w:themeColor="text1"/>
          <w:lang w:eastAsia="ru-RU"/>
        </w:rPr>
        <w:t>Подробный перечень реализуемого имущества приведен в файле «Состав Лота».</w:t>
      </w:r>
    </w:p>
    <w:p w14:paraId="78193821" w14:textId="77777777" w:rsidR="002829E2" w:rsidRDefault="002829E2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3FD5B7C7" w14:textId="77FE769C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Начальная (стартовая) стоимость – 983 000 000 (Девятьсот восемьдесят три миллиона) рублей 00 копеек, в том числе НДС 20% - 145 629 166 (Сто сорок пять миллионов шестьсот двадцать девять тысяч сто шестьдесят шесть) рублей 67 копеек.</w:t>
      </w:r>
    </w:p>
    <w:p w14:paraId="04F83153" w14:textId="50FE9EB1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Минимальная стоимость – 733 000 000 (Семьсот тридцать три миллиона) рублей 00 копеек, в том числе НДС 20% - 108 598 666 (Сто восемь миллионов пятьсот девяносто восемь тысяч шестьсот шестьдесят шесть) рублей 67 копеек.</w:t>
      </w:r>
    </w:p>
    <w:p w14:paraId="4089036F" w14:textId="77777777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Задаток – 15 000 000 (Пятнадцать миллионов) рублей 00 копеек.</w:t>
      </w:r>
    </w:p>
    <w:p w14:paraId="6355A1B3" w14:textId="77777777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Шаг аукциона на понижение – 25 000 000 (Двадцать пять миллионов) рублей 00 копеек.</w:t>
      </w:r>
    </w:p>
    <w:p w14:paraId="554A5A1B" w14:textId="315D59A4" w:rsidR="005F4FCB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Шаг аукциона на повышение – 10 000 000 (Десять миллионов) рублей 00 копеек.</w:t>
      </w:r>
    </w:p>
    <w:p w14:paraId="6544B2C1" w14:textId="77777777" w:rsidR="008F55E7" w:rsidRDefault="008F55E7" w:rsidP="008F55E7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proofErr w:type="spellStart"/>
      <w:r w:rsidR="00F0530E" w:rsidRPr="00EB6F01">
        <w:rPr>
          <w:bCs/>
          <w:u w:val="single"/>
          <w:lang w:val="en-US"/>
        </w:rPr>
        <w:t>ru</w:t>
      </w:r>
      <w:proofErr w:type="spellEnd"/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lastRenderedPageBreak/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2EEBAD30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F032AF">
        <w:rPr>
          <w:rFonts w:cs="Times New Roman"/>
          <w:color w:val="000000"/>
          <w:shd w:val="clear" w:color="auto" w:fill="FFFFFF"/>
        </w:rPr>
        <w:t xml:space="preserve">наименование и </w:t>
      </w:r>
      <w:r w:rsidR="00822514">
        <w:rPr>
          <w:rFonts w:cs="Times New Roman"/>
          <w:color w:val="000000"/>
          <w:shd w:val="clear" w:color="auto" w:fill="FFFFFF"/>
        </w:rPr>
        <w:t xml:space="preserve">код </w:t>
      </w:r>
      <w:r w:rsidR="00F032AF">
        <w:rPr>
          <w:rFonts w:cs="Times New Roman"/>
          <w:color w:val="000000"/>
          <w:shd w:val="clear" w:color="auto" w:fill="FFFFFF"/>
        </w:rPr>
        <w:t xml:space="preserve">Лота </w:t>
      </w:r>
      <w:r w:rsidR="00822514">
        <w:rPr>
          <w:rFonts w:cs="Times New Roman"/>
          <w:color w:val="000000"/>
          <w:shd w:val="clear" w:color="auto" w:fill="FFFFFF"/>
        </w:rPr>
        <w:t>(РАД-ХХХХХХ)</w:t>
      </w:r>
      <w:r w:rsidR="00F032AF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Задаток перечисляется непосредственно стороной по договору о задатке (договору </w:t>
      </w:r>
      <w:r w:rsidRPr="00EB6F01">
        <w:rPr>
          <w:rFonts w:cs="Times New Roman"/>
          <w:color w:val="000000"/>
          <w:shd w:val="clear" w:color="auto" w:fill="FFFFFF"/>
        </w:rPr>
        <w:lastRenderedPageBreak/>
        <w:t>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24C46658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</w:t>
      </w:r>
      <w:r w:rsidR="008F55E7">
        <w:rPr>
          <w:color w:val="000000" w:themeColor="text1"/>
        </w:rPr>
        <w:t xml:space="preserve">Лота </w:t>
      </w:r>
      <w:r w:rsidRPr="00E8051E">
        <w:rPr>
          <w:color w:val="000000" w:themeColor="text1"/>
        </w:rPr>
        <w:t>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lastRenderedPageBreak/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5AAD83ED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DB6FDC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4E46004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DB6FDC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DB6FDC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15B26074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обедителя аукциона на заключение договора купли-продажи </w:t>
      </w:r>
      <w:r w:rsidR="00DB6FDC">
        <w:rPr>
          <w:rFonts w:cs="Times New Roman"/>
        </w:rPr>
        <w:t>Объектов</w:t>
      </w:r>
      <w:r w:rsidR="008F55E7">
        <w:rPr>
          <w:rFonts w:cs="Times New Roman"/>
        </w:rPr>
        <w:t xml:space="preserve"> </w:t>
      </w:r>
      <w:r w:rsidRPr="00EB6F01">
        <w:rPr>
          <w:rFonts w:cs="Times New Roman"/>
        </w:rPr>
        <w:t>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36408ADA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Договор купли-продажи </w:t>
      </w:r>
      <w:r w:rsidR="00DB6FDC">
        <w:rPr>
          <w:color w:val="000000" w:themeColor="text1"/>
          <w:shd w:val="clear" w:color="auto" w:fill="FFFFFF"/>
        </w:rPr>
        <w:t xml:space="preserve">Объектов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4B07FA9F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8F55E7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60DFCCB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 xml:space="preserve">Оплата цены продажи </w:t>
      </w:r>
      <w:r w:rsidR="008F55E7">
        <w:t>Лота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8F55E7">
        <w:t>ов</w:t>
      </w:r>
      <w:r>
        <w:t>.</w:t>
      </w:r>
    </w:p>
    <w:p w14:paraId="775A9A5A" w14:textId="0C613EC6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</w:t>
      </w:r>
      <w:r w:rsidR="00A26E9A" w:rsidRPr="003F09F1">
        <w:rPr>
          <w:color w:val="000000" w:themeColor="text1"/>
        </w:rPr>
        <w:lastRenderedPageBreak/>
        <w:t xml:space="preserve">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DB6FDC">
        <w:rPr>
          <w:color w:val="000000" w:themeColor="text1"/>
        </w:rPr>
        <w:t>ов</w:t>
      </w:r>
      <w:r w:rsidRPr="003F09F1">
        <w:rPr>
          <w:color w:val="000000" w:themeColor="text1"/>
        </w:rPr>
        <w:t xml:space="preserve">, нарушении сроков оплаты </w:t>
      </w:r>
      <w:r w:rsidR="00DB6FDC">
        <w:rPr>
          <w:color w:val="000000" w:themeColor="text1"/>
        </w:rPr>
        <w:t>Лота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27BC7953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 xml:space="preserve">, оплачивает Организатору торгов вознаграждение за организацию и проведение продажи </w:t>
      </w:r>
      <w:r w:rsidR="00DB6FDC">
        <w:rPr>
          <w:b/>
          <w:bCs/>
        </w:rPr>
        <w:t>Лота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66300E48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549ADA8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67B68D63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63D701FB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</w:t>
      </w:r>
      <w:r w:rsidR="00DB6FDC">
        <w:t>Лота</w:t>
      </w:r>
      <w:r>
        <w:t xml:space="preserve"> </w:t>
      </w:r>
      <w:r w:rsidRPr="00252F88">
        <w:t xml:space="preserve">и уплачивается сверх цены продажи </w:t>
      </w:r>
      <w:r w:rsidR="00DB6FDC">
        <w:t>Лота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52FC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29E2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85764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73F22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55E7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7E7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6FDC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7</cp:revision>
  <cp:lastPrinted>2022-03-30T08:27:00Z</cp:lastPrinted>
  <dcterms:created xsi:type="dcterms:W3CDTF">2022-03-30T14:45:00Z</dcterms:created>
  <dcterms:modified xsi:type="dcterms:W3CDTF">2022-07-21T12:57:00Z</dcterms:modified>
</cp:coreProperties>
</file>