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9D27F3" w:rsidRPr="00CA2432" w:rsidRDefault="009D27F3" w:rsidP="009D27F3">
      <w:pPr>
        <w:jc w:val="center"/>
        <w:outlineLvl w:val="0"/>
        <w:rPr>
          <w:rFonts w:ascii="Verdana" w:hAnsi="Verdana"/>
          <w:b/>
          <w:bCs/>
          <w:sz w:val="20"/>
          <w:szCs w:val="20"/>
        </w:rPr>
      </w:pPr>
    </w:p>
    <w:p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w:t>
      </w:r>
      <w:r w:rsidR="007B4BC5">
        <w:rPr>
          <w:rFonts w:ascii="Verdana" w:hAnsi="Verdana"/>
          <w:b/>
          <w:bCs/>
          <w:sz w:val="20"/>
          <w:szCs w:val="20"/>
        </w:rPr>
        <w:t>_</w:t>
      </w:r>
      <w:r w:rsidRPr="00CA2432">
        <w:rPr>
          <w:rFonts w:ascii="Verdana" w:hAnsi="Verdana"/>
          <w:b/>
          <w:bCs/>
          <w:sz w:val="20"/>
          <w:szCs w:val="20"/>
        </w:rPr>
        <w:t xml:space="preserve"> года</w:t>
      </w:r>
    </w:p>
    <w:p w:rsidR="009D27F3" w:rsidRPr="00CA2432" w:rsidRDefault="009D27F3" w:rsidP="009D27F3">
      <w:pPr>
        <w:ind w:firstLine="540"/>
        <w:jc w:val="both"/>
        <w:rPr>
          <w:rFonts w:ascii="Verdana" w:hAnsi="Verdana"/>
          <w:b/>
          <w:bCs/>
          <w:sz w:val="20"/>
          <w:szCs w:val="20"/>
        </w:rPr>
      </w:pPr>
    </w:p>
    <w:p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 xml:space="preserve">1.1.Для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3.1.За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9D27F3" w:rsidRPr="00CA2432" w:rsidRDefault="009D27F3" w:rsidP="009D27F3">
      <w:pPr>
        <w:ind w:firstLine="540"/>
        <w:jc w:val="both"/>
        <w:rPr>
          <w:rFonts w:ascii="Verdana" w:hAnsi="Verdana"/>
          <w:b/>
          <w:bCs/>
          <w:sz w:val="20"/>
          <w:szCs w:val="20"/>
        </w:rPr>
      </w:pPr>
    </w:p>
    <w:p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097234" w:rsidRPr="00097234" w:rsidRDefault="00097234" w:rsidP="00097234">
      <w:pPr>
        <w:ind w:firstLine="540"/>
        <w:jc w:val="center"/>
        <w:rPr>
          <w:rFonts w:ascii="Verdana" w:hAnsi="Verdana"/>
          <w:b/>
          <w:bCs/>
          <w:sz w:val="20"/>
          <w:szCs w:val="20"/>
        </w:rPr>
      </w:pPr>
    </w:p>
    <w:p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4, г. Москва, Известковый пер.,</w:t>
      </w:r>
      <w:r w:rsidRPr="004601C2">
        <w:rPr>
          <w:rFonts w:ascii="Verdana" w:hAnsi="Verdana"/>
          <w:sz w:val="20"/>
          <w:szCs w:val="20"/>
        </w:rPr>
        <w:t>д.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КПП  </w:t>
      </w:r>
      <w:r>
        <w:rPr>
          <w:rFonts w:ascii="Verdana" w:hAnsi="Verdana"/>
          <w:sz w:val="20"/>
          <w:szCs w:val="20"/>
        </w:rPr>
        <w:t>770901001</w:t>
      </w:r>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CA2432" w:rsidRDefault="009D27F3" w:rsidP="009D27F3">
      <w:pPr>
        <w:ind w:firstLine="540"/>
        <w:rPr>
          <w:rFonts w:ascii="Verdana" w:hAnsi="Verdana"/>
          <w:sz w:val="20"/>
          <w:szCs w:val="20"/>
        </w:rPr>
      </w:pPr>
    </w:p>
    <w:p w:rsidR="009D78E8" w:rsidRDefault="005E5973"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973" w:rsidRDefault="005E5973" w:rsidP="00231669">
      <w:pPr>
        <w:spacing w:after="0" w:line="240" w:lineRule="auto"/>
      </w:pPr>
      <w:r>
        <w:separator/>
      </w:r>
    </w:p>
  </w:endnote>
  <w:endnote w:type="continuationSeparator" w:id="0">
    <w:p w:rsidR="005E5973" w:rsidRDefault="005E5973"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7B4BC5">
          <w:rPr>
            <w:noProof/>
          </w:rPr>
          <w:t>6</w:t>
        </w:r>
        <w:r>
          <w:fldChar w:fldCharType="end"/>
        </w:r>
      </w:p>
    </w:sdtContent>
  </w:sdt>
  <w:p w:rsidR="00231669" w:rsidRDefault="009D27F3" w:rsidP="00122E9B">
    <w:pPr>
      <w:pStyle w:val="a5"/>
      <w:ind w:left="-1843"/>
    </w:pPr>
    <w:r>
      <w:rPr>
        <w:noProof/>
        <w:lang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5E5973"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973" w:rsidRDefault="005E5973" w:rsidP="00231669">
      <w:pPr>
        <w:spacing w:after="0" w:line="240" w:lineRule="auto"/>
      </w:pPr>
      <w:r>
        <w:separator/>
      </w:r>
    </w:p>
  </w:footnote>
  <w:footnote w:type="continuationSeparator" w:id="0">
    <w:p w:rsidR="005E5973" w:rsidRDefault="005E5973"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15796"/>
    <w:rsid w:val="00042BDF"/>
    <w:rsid w:val="00097234"/>
    <w:rsid w:val="000E402A"/>
    <w:rsid w:val="00122E9B"/>
    <w:rsid w:val="001B619F"/>
    <w:rsid w:val="00231669"/>
    <w:rsid w:val="0023446A"/>
    <w:rsid w:val="00260EAD"/>
    <w:rsid w:val="0039794B"/>
    <w:rsid w:val="004248CE"/>
    <w:rsid w:val="004B1D62"/>
    <w:rsid w:val="004D2371"/>
    <w:rsid w:val="0055199B"/>
    <w:rsid w:val="005E5973"/>
    <w:rsid w:val="006119B4"/>
    <w:rsid w:val="0067297E"/>
    <w:rsid w:val="00701F29"/>
    <w:rsid w:val="00741022"/>
    <w:rsid w:val="007A17BB"/>
    <w:rsid w:val="007B3D82"/>
    <w:rsid w:val="007B4BC5"/>
    <w:rsid w:val="00821AEB"/>
    <w:rsid w:val="008C6389"/>
    <w:rsid w:val="00942E18"/>
    <w:rsid w:val="009537B6"/>
    <w:rsid w:val="009D27F3"/>
    <w:rsid w:val="009E2D4D"/>
    <w:rsid w:val="00A444C0"/>
    <w:rsid w:val="00BE5562"/>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D3B74"/>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Байкова Марина Викторовна</cp:lastModifiedBy>
  <cp:revision>1</cp:revision>
  <dcterms:created xsi:type="dcterms:W3CDTF">2022-04-13T08:26:00Z</dcterms:created>
  <dcterms:modified xsi:type="dcterms:W3CDTF">2022-04-13T08:26:00Z</dcterms:modified>
</cp:coreProperties>
</file>