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20B" w:rsidRDefault="00C34B96" w:rsidP="00C34B96">
      <w:pPr>
        <w:jc w:val="both"/>
      </w:pPr>
      <w:r>
        <w:rPr>
          <w:rFonts w:ascii="Times New Roman" w:hAnsi="Times New Roman" w:cs="Times New Roman"/>
          <w:bCs/>
          <w:sz w:val="18"/>
          <w:szCs w:val="18"/>
        </w:rPr>
        <w:t xml:space="preserve">АО «Российский аукционный дом» (ОГРН 1097847233351, ИНН 7838430413, 190000, Санкт-Петербург, пер. </w:t>
      </w:r>
      <w:proofErr w:type="spellStart"/>
      <w:r>
        <w:rPr>
          <w:rFonts w:ascii="Times New Roman" w:hAnsi="Times New Roman" w:cs="Times New Roman"/>
          <w:bCs/>
          <w:sz w:val="18"/>
          <w:szCs w:val="18"/>
        </w:rPr>
        <w:t>Гривцова</w:t>
      </w:r>
      <w:proofErr w:type="spellEnd"/>
      <w:r>
        <w:rPr>
          <w:rFonts w:ascii="Times New Roman" w:hAnsi="Times New Roman" w:cs="Times New Roman"/>
          <w:bCs/>
          <w:sz w:val="18"/>
          <w:szCs w:val="18"/>
        </w:rPr>
        <w:t xml:space="preserve">, д. 5, лит. В, (495) 234–04-00 (доб.421), shtefan@auction-house.ru, далее - Организатор торгов, ОТ), действующее на основании договора поручения с Каревым Юрием Николаевичем (ИНН 773413041015, далее-Должник), в лице финансового управляющего Благодатских В.А. (ИНН 500805521017, далее - ФУ) - член Ассоциации МСОПАУ (ИНН 7701321710), действующего на </w:t>
      </w:r>
      <w:r>
        <w:rPr>
          <w:rFonts w:ascii="Times New Roman" w:hAnsi="Times New Roman" w:cs="Times New Roman"/>
          <w:bCs/>
          <w:color w:val="000000" w:themeColor="text1"/>
          <w:sz w:val="18"/>
          <w:szCs w:val="18"/>
        </w:rPr>
        <w:t>основании</w:t>
      </w:r>
      <w:r>
        <w:rPr>
          <w:rFonts w:ascii="Times New Roman" w:hAnsi="Times New Roman" w:cs="Times New Roman"/>
          <w:bCs/>
          <w:sz w:val="18"/>
          <w:szCs w:val="18"/>
        </w:rPr>
        <w:t xml:space="preserve"> решения Арбитражного суда г. Москвы от 06.09.2021 по делу №А40-4405/21-106-9 Ф, сообщает о проведении </w:t>
      </w:r>
      <w:r>
        <w:rPr>
          <w:rFonts w:ascii="Times New Roman" w:hAnsi="Times New Roman" w:cs="Times New Roman"/>
          <w:b/>
          <w:bCs/>
          <w:sz w:val="18"/>
          <w:szCs w:val="18"/>
        </w:rPr>
        <w:t>11.10.2022 г.</w:t>
      </w:r>
      <w:r>
        <w:rPr>
          <w:rFonts w:ascii="Times New Roman" w:hAnsi="Times New Roman" w:cs="Times New Roman"/>
          <w:bCs/>
          <w:sz w:val="18"/>
          <w:szCs w:val="18"/>
        </w:rPr>
        <w:t xml:space="preserve"> в 10 час. 00 мин. (</w:t>
      </w:r>
      <w:proofErr w:type="spellStart"/>
      <w:r>
        <w:rPr>
          <w:rFonts w:ascii="Times New Roman" w:hAnsi="Times New Roman" w:cs="Times New Roman"/>
          <w:bCs/>
          <w:sz w:val="18"/>
          <w:szCs w:val="18"/>
        </w:rPr>
        <w:t>Мск</w:t>
      </w:r>
      <w:proofErr w:type="spellEnd"/>
      <w:r>
        <w:rPr>
          <w:rFonts w:ascii="Times New Roman" w:hAnsi="Times New Roman" w:cs="Times New Roman"/>
          <w:bCs/>
          <w:sz w:val="18"/>
          <w:szCs w:val="18"/>
        </w:rPr>
        <w:t xml:space="preserve">) открытых электронных торгов (далее–Торги) на электронной торговой площадке АО «Российский аукционный дом» по адресу в сети Интернет: http://www.lot-online.ru/ (далее-ЭП) путем проведения аукциона, открытого по составу участников с открытой формой подачи предложений о цене. Начало приема заявок на участие в Торгах с 09 час. 00 мин. </w:t>
      </w:r>
      <w:r>
        <w:rPr>
          <w:rFonts w:ascii="Times New Roman" w:hAnsi="Times New Roman" w:cs="Times New Roman"/>
          <w:b/>
          <w:bCs/>
          <w:sz w:val="18"/>
          <w:szCs w:val="18"/>
        </w:rPr>
        <w:t>04.09.2022</w:t>
      </w:r>
      <w:r>
        <w:rPr>
          <w:rFonts w:ascii="Times New Roman" w:hAnsi="Times New Roman" w:cs="Times New Roman"/>
          <w:bCs/>
          <w:sz w:val="18"/>
          <w:szCs w:val="18"/>
        </w:rPr>
        <w:t xml:space="preserve"> </w:t>
      </w:r>
      <w:r>
        <w:rPr>
          <w:rFonts w:ascii="Times New Roman" w:hAnsi="Times New Roman" w:cs="Times New Roman"/>
          <w:b/>
          <w:bCs/>
          <w:sz w:val="18"/>
          <w:szCs w:val="18"/>
        </w:rPr>
        <w:t>г.</w:t>
      </w:r>
      <w:r>
        <w:rPr>
          <w:rFonts w:ascii="Times New Roman" w:hAnsi="Times New Roman" w:cs="Times New Roman"/>
          <w:bCs/>
          <w:sz w:val="18"/>
          <w:szCs w:val="18"/>
        </w:rPr>
        <w:t xml:space="preserve"> по </w:t>
      </w:r>
      <w:r>
        <w:rPr>
          <w:rFonts w:ascii="Times New Roman" w:hAnsi="Times New Roman" w:cs="Times New Roman"/>
          <w:b/>
          <w:bCs/>
          <w:sz w:val="18"/>
          <w:szCs w:val="18"/>
        </w:rPr>
        <w:t>09.10.2022</w:t>
      </w:r>
      <w:r>
        <w:rPr>
          <w:rFonts w:ascii="Times New Roman" w:hAnsi="Times New Roman" w:cs="Times New Roman"/>
          <w:bCs/>
          <w:sz w:val="18"/>
          <w:szCs w:val="18"/>
        </w:rPr>
        <w:t xml:space="preserve"> </w:t>
      </w:r>
      <w:r>
        <w:rPr>
          <w:rFonts w:ascii="Times New Roman" w:hAnsi="Times New Roman" w:cs="Times New Roman"/>
          <w:b/>
          <w:bCs/>
          <w:sz w:val="18"/>
          <w:szCs w:val="18"/>
        </w:rPr>
        <w:t>г</w:t>
      </w:r>
      <w:r>
        <w:rPr>
          <w:rFonts w:ascii="Times New Roman" w:hAnsi="Times New Roman" w:cs="Times New Roman"/>
          <w:bCs/>
          <w:sz w:val="18"/>
          <w:szCs w:val="18"/>
        </w:rPr>
        <w:t xml:space="preserve">. до 23 час 00 мин. Определение участников торгов – </w:t>
      </w:r>
      <w:r>
        <w:rPr>
          <w:rFonts w:ascii="Times New Roman" w:hAnsi="Times New Roman" w:cs="Times New Roman"/>
          <w:b/>
          <w:bCs/>
          <w:sz w:val="18"/>
          <w:szCs w:val="18"/>
        </w:rPr>
        <w:t>10.10.2022г.</w:t>
      </w:r>
      <w:r>
        <w:rPr>
          <w:rFonts w:ascii="Times New Roman" w:hAnsi="Times New Roman" w:cs="Times New Roman"/>
          <w:bCs/>
          <w:sz w:val="18"/>
          <w:szCs w:val="18"/>
        </w:rPr>
        <w:t xml:space="preserve"> в 17 час. 00 мин., оформляется протоколом об определении участников торгов. Продаже на Торгах подлежит имущество (далее–Имущество, Лот): </w:t>
      </w:r>
      <w:r>
        <w:rPr>
          <w:rFonts w:ascii="Times New Roman" w:hAnsi="Times New Roman" w:cs="Times New Roman"/>
          <w:b/>
          <w:bCs/>
          <w:sz w:val="18"/>
          <w:szCs w:val="18"/>
        </w:rPr>
        <w:t xml:space="preserve">Лот 1: Земельный участок, </w:t>
      </w:r>
      <w:r>
        <w:rPr>
          <w:rFonts w:ascii="Times New Roman" w:hAnsi="Times New Roman" w:cs="Times New Roman"/>
          <w:bCs/>
          <w:sz w:val="18"/>
          <w:szCs w:val="18"/>
        </w:rPr>
        <w:t xml:space="preserve">категория земель: земли с/х назначения, вид разрешенного использования: для дачного строительства, пл. 1746 </w:t>
      </w:r>
      <w:proofErr w:type="spellStart"/>
      <w:r>
        <w:rPr>
          <w:rFonts w:ascii="Times New Roman" w:hAnsi="Times New Roman" w:cs="Times New Roman"/>
          <w:bCs/>
          <w:sz w:val="18"/>
          <w:szCs w:val="18"/>
        </w:rPr>
        <w:t>кв.м</w:t>
      </w:r>
      <w:proofErr w:type="spellEnd"/>
      <w:r>
        <w:rPr>
          <w:rFonts w:ascii="Times New Roman" w:hAnsi="Times New Roman" w:cs="Times New Roman"/>
          <w:bCs/>
          <w:sz w:val="18"/>
          <w:szCs w:val="18"/>
        </w:rPr>
        <w:t xml:space="preserve">., кадастровый № 50:08:0080317:254, адрес: местоположение установлено относительно ориентира, расположенного за пределами участка. Ориентир жилого дома. Участок находится примерно в 823м, по направлению на северо-запад от ориентира. Почт. адрес ориентира: обл. Московская, р-н </w:t>
      </w:r>
      <w:proofErr w:type="spellStart"/>
      <w:r>
        <w:rPr>
          <w:rFonts w:ascii="Times New Roman" w:hAnsi="Times New Roman" w:cs="Times New Roman"/>
          <w:bCs/>
          <w:sz w:val="18"/>
          <w:szCs w:val="18"/>
        </w:rPr>
        <w:t>Истринский</w:t>
      </w:r>
      <w:proofErr w:type="spellEnd"/>
      <w:r>
        <w:rPr>
          <w:rFonts w:ascii="Times New Roman" w:hAnsi="Times New Roman" w:cs="Times New Roman"/>
          <w:bCs/>
          <w:sz w:val="18"/>
          <w:szCs w:val="18"/>
        </w:rPr>
        <w:t xml:space="preserve">, с/п </w:t>
      </w:r>
      <w:proofErr w:type="spellStart"/>
      <w:r>
        <w:rPr>
          <w:rFonts w:ascii="Times New Roman" w:hAnsi="Times New Roman" w:cs="Times New Roman"/>
          <w:bCs/>
          <w:sz w:val="18"/>
          <w:szCs w:val="18"/>
        </w:rPr>
        <w:t>Бужаровское</w:t>
      </w:r>
      <w:proofErr w:type="spellEnd"/>
      <w:r>
        <w:rPr>
          <w:rFonts w:ascii="Times New Roman" w:hAnsi="Times New Roman" w:cs="Times New Roman"/>
          <w:bCs/>
          <w:sz w:val="18"/>
          <w:szCs w:val="18"/>
        </w:rPr>
        <w:t xml:space="preserve">, д. </w:t>
      </w:r>
      <w:proofErr w:type="spellStart"/>
      <w:r>
        <w:rPr>
          <w:rFonts w:ascii="Times New Roman" w:hAnsi="Times New Roman" w:cs="Times New Roman"/>
          <w:bCs/>
          <w:sz w:val="18"/>
          <w:szCs w:val="18"/>
        </w:rPr>
        <w:t>Лыщево</w:t>
      </w:r>
      <w:proofErr w:type="spellEnd"/>
      <w:r>
        <w:rPr>
          <w:rFonts w:ascii="Times New Roman" w:hAnsi="Times New Roman" w:cs="Times New Roman"/>
          <w:bCs/>
          <w:sz w:val="18"/>
          <w:szCs w:val="18"/>
        </w:rPr>
        <w:t xml:space="preserve">, д. 17. </w:t>
      </w:r>
      <w:r>
        <w:rPr>
          <w:rFonts w:ascii="Times New Roman" w:hAnsi="Times New Roman" w:cs="Times New Roman"/>
          <w:b/>
          <w:bCs/>
          <w:sz w:val="18"/>
          <w:szCs w:val="18"/>
        </w:rPr>
        <w:t>Начальная цена (далее - НЦ) -6 950 000 руб.</w:t>
      </w:r>
      <w:r>
        <w:rPr>
          <w:rFonts w:ascii="Times New Roman" w:hAnsi="Times New Roman" w:cs="Times New Roman"/>
          <w:bCs/>
          <w:sz w:val="18"/>
          <w:szCs w:val="18"/>
        </w:rPr>
        <w:t xml:space="preserve"> </w:t>
      </w:r>
      <w:r>
        <w:rPr>
          <w:rFonts w:ascii="Times New Roman" w:hAnsi="Times New Roman" w:cs="Times New Roman"/>
          <w:b/>
          <w:bCs/>
          <w:sz w:val="18"/>
          <w:szCs w:val="18"/>
        </w:rPr>
        <w:t>Обременение</w:t>
      </w:r>
      <w:r>
        <w:rPr>
          <w:rFonts w:ascii="Times New Roman" w:hAnsi="Times New Roman" w:cs="Times New Roman"/>
          <w:bCs/>
          <w:sz w:val="18"/>
          <w:szCs w:val="18"/>
        </w:rPr>
        <w:t xml:space="preserve">: Запрещение регистрации, в соответствии с Выпиской из ЕГРН об объекте недвижимости от 27.07.2022. Подробное описание и ограничение Лота размещены в ЕФРСБ по адресу: http://fedresurs.ru/, а также на ЭП. Ознакомление с Лотом производится по местонахождению Лота, по предварительной договоренности в любой день недели с 18.00 до 22.00 по </w:t>
      </w:r>
      <w:proofErr w:type="spellStart"/>
      <w:r>
        <w:rPr>
          <w:rFonts w:ascii="Times New Roman" w:hAnsi="Times New Roman" w:cs="Times New Roman"/>
          <w:bCs/>
          <w:sz w:val="18"/>
          <w:szCs w:val="18"/>
        </w:rPr>
        <w:t>Мск</w:t>
      </w:r>
      <w:proofErr w:type="spellEnd"/>
      <w:r>
        <w:rPr>
          <w:rFonts w:ascii="Times New Roman" w:hAnsi="Times New Roman" w:cs="Times New Roman"/>
          <w:bCs/>
          <w:sz w:val="18"/>
          <w:szCs w:val="18"/>
        </w:rPr>
        <w:t xml:space="preserve">. тел. ФУ: +7 (916) 539-71-94, а также у ОТ: тел. 8(499)395-00-20 (с 09.00 до 18.00 по </w:t>
      </w:r>
      <w:proofErr w:type="spellStart"/>
      <w:r>
        <w:rPr>
          <w:rFonts w:ascii="Times New Roman" w:hAnsi="Times New Roman" w:cs="Times New Roman"/>
          <w:bCs/>
          <w:sz w:val="18"/>
          <w:szCs w:val="18"/>
        </w:rPr>
        <w:t>Мск</w:t>
      </w:r>
      <w:proofErr w:type="spellEnd"/>
      <w:r>
        <w:rPr>
          <w:rFonts w:ascii="Times New Roman" w:hAnsi="Times New Roman" w:cs="Times New Roman"/>
          <w:bCs/>
          <w:sz w:val="18"/>
          <w:szCs w:val="18"/>
        </w:rPr>
        <w:t xml:space="preserve">. в будние дни), </w:t>
      </w:r>
      <w:hyperlink r:id="rId4" w:history="1">
        <w:r>
          <w:rPr>
            <w:rStyle w:val="a3"/>
            <w:rFonts w:ascii="Times New Roman" w:hAnsi="Times New Roman" w:cs="Times New Roman"/>
            <w:bCs/>
            <w:sz w:val="18"/>
            <w:szCs w:val="18"/>
          </w:rPr>
          <w:t>informmsk@auction-house.ru</w:t>
        </w:r>
      </w:hyperlink>
      <w:r>
        <w:rPr>
          <w:rFonts w:ascii="Times New Roman" w:hAnsi="Times New Roman" w:cs="Times New Roman"/>
          <w:bCs/>
          <w:sz w:val="18"/>
          <w:szCs w:val="18"/>
        </w:rPr>
        <w:t xml:space="preserve">.Задаток – 20 % от НЦ Лота. Шаг аукциона – 5% от НЦ Лота. 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назначении платежа необходимо указывать: «№ Л/с .... Задаток для участия в торгах».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ФУ и о характере этой заинтересованности, сведения об участии в капитале заявителя ФУ, СРО арбитражных управляющих, членом или руководителем которой является ФУ. ОТ имеет право отменить </w:t>
      </w:r>
      <w:bookmarkStart w:id="0" w:name="_GoBack"/>
      <w:bookmarkEnd w:id="0"/>
      <w:r>
        <w:rPr>
          <w:rFonts w:ascii="Times New Roman" w:hAnsi="Times New Roman" w:cs="Times New Roman"/>
          <w:bCs/>
          <w:sz w:val="18"/>
          <w:szCs w:val="18"/>
        </w:rPr>
        <w:t>торги в любое время до момента подведения итогов. Победитель– лицо, предложившее наиболее высокую цену.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Проект договора купли-продажи (далее - ДКП) размещен на ЭП. ДКП заключается с победителем в течение 5 дней с даты получения победителем ДКП от ФУ. Оплата – в течение 30 дней со дня подписания ДКП на счет Должника: Р/с № 40817810638046803868 Банк ПАО СБЕРБАНК г. Москва, БИК 044525225, к/с № 30101810400000000225. Сделки по итогам торгов подлежат заключению с учетом положений Указа Президента РФ№81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sectPr w:rsidR="008A42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B6A"/>
    <w:rsid w:val="001A2E67"/>
    <w:rsid w:val="00821B6A"/>
    <w:rsid w:val="00A57627"/>
    <w:rsid w:val="00C34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66282-4490-4132-87B4-A35B02F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4B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mmsk@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797</Words>
  <Characters>4544</Characters>
  <Application>Microsoft Office Word</Application>
  <DocSecurity>0</DocSecurity>
  <Lines>37</Lines>
  <Paragraphs>10</Paragraphs>
  <ScaleCrop>false</ScaleCrop>
  <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Штефан Надежда Ивановна</dc:creator>
  <cp:keywords/>
  <dc:description/>
  <cp:lastModifiedBy>Штефан Надежда Ивановна</cp:lastModifiedBy>
  <cp:revision>2</cp:revision>
  <dcterms:created xsi:type="dcterms:W3CDTF">2022-08-22T11:20:00Z</dcterms:created>
  <dcterms:modified xsi:type="dcterms:W3CDTF">2022-08-22T11:21:00Z</dcterms:modified>
</cp:coreProperties>
</file>