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06" w:rsidRPr="00AF213E" w:rsidRDefault="009B5E46" w:rsidP="00B13906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F47347"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  <w:r>
        <w:rPr>
          <w:b/>
          <w:sz w:val="22"/>
          <w:szCs w:val="22"/>
        </w:rPr>
        <w:t xml:space="preserve">                     Проект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B5E46">
        <w:rPr>
          <w:rFonts w:ascii="Times New Roman" w:eastAsia="MS Mincho" w:hAnsi="Times New Roman"/>
          <w:sz w:val="22"/>
          <w:szCs w:val="22"/>
        </w:rPr>
        <w:t>22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3F3F3B" w:rsidRDefault="003F3F3B" w:rsidP="003F3F3B">
      <w:pPr>
        <w:pStyle w:val="a8"/>
        <w:ind w:right="-5"/>
        <w:jc w:val="both"/>
        <w:rPr>
          <w:color w:val="000000"/>
          <w:sz w:val="24"/>
          <w:szCs w:val="24"/>
        </w:rPr>
      </w:pPr>
      <w:r w:rsidRPr="003F3F3B">
        <w:rPr>
          <w:color w:val="000000"/>
          <w:sz w:val="24"/>
          <w:szCs w:val="24"/>
        </w:rPr>
        <w:t>ОБЩЕСТВО С ОГРАНИЧЕННОЙ ОТВЕТСТВЕННОСТЬЮ «ПРОСПЕКТ</w:t>
      </w:r>
      <w:proofErr w:type="gramStart"/>
      <w:r w:rsidRPr="003F3F3B">
        <w:rPr>
          <w:color w:val="000000"/>
          <w:sz w:val="24"/>
          <w:szCs w:val="24"/>
        </w:rPr>
        <w:t>»И</w:t>
      </w:r>
      <w:proofErr w:type="gramEnd"/>
      <w:r w:rsidRPr="003F3F3B">
        <w:rPr>
          <w:color w:val="000000"/>
          <w:sz w:val="24"/>
          <w:szCs w:val="24"/>
        </w:rPr>
        <w:t>НН: 5018049599, ОГРН</w:t>
      </w:r>
      <w:r>
        <w:rPr>
          <w:color w:val="000000"/>
          <w:sz w:val="24"/>
          <w:szCs w:val="24"/>
        </w:rPr>
        <w:t xml:space="preserve"> 1025002040139 КПП: 501801001 </w:t>
      </w:r>
      <w:r w:rsidR="00D45E11" w:rsidRPr="003F6827">
        <w:rPr>
          <w:color w:val="000000"/>
          <w:sz w:val="24"/>
          <w:szCs w:val="24"/>
        </w:rPr>
        <w:t>, место нахождения:</w:t>
      </w:r>
      <w:r>
        <w:rPr>
          <w:color w:val="000000"/>
          <w:sz w:val="24"/>
          <w:szCs w:val="24"/>
        </w:rPr>
        <w:t xml:space="preserve"> </w:t>
      </w:r>
      <w:r w:rsidRPr="003F3F3B">
        <w:rPr>
          <w:color w:val="000000"/>
          <w:sz w:val="24"/>
          <w:szCs w:val="24"/>
        </w:rPr>
        <w:t>141092, Московская область, г. Королев, ул. Лесная (</w:t>
      </w:r>
      <w:proofErr w:type="spellStart"/>
      <w:r w:rsidRPr="003F3F3B">
        <w:rPr>
          <w:color w:val="000000"/>
          <w:sz w:val="24"/>
          <w:szCs w:val="24"/>
        </w:rPr>
        <w:t>мкр</w:t>
      </w:r>
      <w:proofErr w:type="spellEnd"/>
      <w:r w:rsidRPr="003F3F3B">
        <w:rPr>
          <w:color w:val="000000"/>
          <w:sz w:val="24"/>
          <w:szCs w:val="24"/>
        </w:rPr>
        <w:t>. Юбилейный</w:t>
      </w:r>
      <w:proofErr w:type="gramStart"/>
      <w:r w:rsidRPr="003F3F3B">
        <w:rPr>
          <w:color w:val="000000"/>
          <w:sz w:val="24"/>
          <w:szCs w:val="24"/>
        </w:rPr>
        <w:t>)д</w:t>
      </w:r>
      <w:proofErr w:type="gramEnd"/>
      <w:r w:rsidRPr="003F3F3B">
        <w:rPr>
          <w:color w:val="000000"/>
          <w:sz w:val="24"/>
          <w:szCs w:val="24"/>
        </w:rPr>
        <w:t>.18. пом. 6</w:t>
      </w:r>
      <w:r w:rsidR="00D45E11" w:rsidRPr="003F6827">
        <w:rPr>
          <w:color w:val="000000"/>
          <w:sz w:val="24"/>
          <w:szCs w:val="24"/>
        </w:rPr>
        <w:t>)</w:t>
      </w:r>
      <w:r w:rsidR="00CA1ACF" w:rsidRPr="00D45E11">
        <w:rPr>
          <w:color w:val="000000"/>
          <w:sz w:val="24"/>
          <w:szCs w:val="24"/>
        </w:rPr>
        <w:t>, именуемое</w:t>
      </w:r>
      <w:r w:rsidR="008C177F" w:rsidRPr="00D45E11">
        <w:rPr>
          <w:color w:val="000000"/>
          <w:sz w:val="24"/>
          <w:szCs w:val="24"/>
        </w:rPr>
        <w:t xml:space="preserve"> в дальнейшем «Продавец</w:t>
      </w:r>
      <w:r w:rsidR="00102FE6" w:rsidRPr="00D45E11">
        <w:rPr>
          <w:color w:val="000000"/>
          <w:sz w:val="24"/>
          <w:szCs w:val="24"/>
        </w:rPr>
        <w:t xml:space="preserve">», в лице </w:t>
      </w:r>
      <w:r w:rsidR="00D45E11" w:rsidRPr="00D45E11">
        <w:rPr>
          <w:color w:val="000000"/>
          <w:sz w:val="24"/>
          <w:szCs w:val="24"/>
        </w:rPr>
        <w:t xml:space="preserve">конкурсного управляющего </w:t>
      </w:r>
      <w:proofErr w:type="spellStart"/>
      <w:r w:rsidRPr="003F3F3B">
        <w:rPr>
          <w:color w:val="000000"/>
          <w:sz w:val="24"/>
          <w:szCs w:val="24"/>
        </w:rPr>
        <w:t>Дегтяр</w:t>
      </w:r>
      <w:proofErr w:type="spellEnd"/>
      <w:r w:rsidRPr="003F3F3B">
        <w:rPr>
          <w:color w:val="000000"/>
          <w:sz w:val="24"/>
          <w:szCs w:val="24"/>
        </w:rPr>
        <w:t xml:space="preserve"> Светланы Васильевны, действующей на основании Решения Арбитражного суда  Московской области  от  02.08.2021 года дело А41-53149/202</w:t>
      </w:r>
      <w:r>
        <w:rPr>
          <w:color w:val="000000"/>
          <w:sz w:val="24"/>
          <w:szCs w:val="24"/>
        </w:rPr>
        <w:t>0</w:t>
      </w:r>
      <w:r w:rsidR="001843CF" w:rsidRPr="00A85AF5">
        <w:rPr>
          <w:sz w:val="22"/>
          <w:szCs w:val="22"/>
        </w:rPr>
        <w:t xml:space="preserve">, с одной стороны </w:t>
      </w:r>
      <w:r w:rsidR="00C166AC" w:rsidRPr="00A85AF5">
        <w:rPr>
          <w:sz w:val="22"/>
          <w:szCs w:val="22"/>
        </w:rPr>
        <w:t xml:space="preserve">и </w:t>
      </w:r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r w:rsidR="00D45E11" w:rsidRPr="00D74117">
        <w:rPr>
          <w:rFonts w:ascii="Times New Roman" w:hAnsi="Times New Roman" w:cs="Times New Roman"/>
          <w:sz w:val="24"/>
          <w:szCs w:val="24"/>
        </w:rPr>
        <w:t>www.bankruptcy.lot-online.ru</w:t>
      </w:r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5258"/>
        <w:gridCol w:w="3969"/>
      </w:tblGrid>
      <w:tr w:rsidR="00155E07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А</w:t>
            </w:r>
            <w:proofErr w:type="gramStart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)Ж</w:t>
            </w:r>
            <w:proofErr w:type="gramEnd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илой дом, назначение: нежилое, кадастровый номер: 50:14:0000000:122892, количество этажей: 1, общая площадь 82,1 кв. м., по адресу: Московская область, Щелковский р-н, д. Орлово состояние неудовлетворительное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Б) Жилой дом, назначение: жилое, кадастровый номер: 50:14:0000000:123989, количество этажей: 1, общая площадь 100,4 кв. м., по адресу: Московская область, Щелковский р-н, д. Орлово </w:t>
            </w:r>
            <w:r w:rsidR="00420738" w:rsidRPr="00420738">
              <w:rPr>
                <w:color w:val="333333"/>
                <w:sz w:val="22"/>
                <w:szCs w:val="22"/>
                <w:shd w:val="clear" w:color="auto" w:fill="FFFFFF"/>
              </w:rPr>
              <w:t>состояние неудовлетворительное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 В) Здание пионерского лагеря, назначение: нежилое, кадастровый номер: 50:14:0030102:238, количество этажей: 1, общая площадь 222,7 кв. м., по адресу: Московская область, Щелковский р-н, д. Орлово </w:t>
            </w:r>
            <w:r w:rsidR="00420738" w:rsidRPr="00420738">
              <w:rPr>
                <w:color w:val="333333"/>
                <w:sz w:val="22"/>
                <w:szCs w:val="22"/>
                <w:shd w:val="clear" w:color="auto" w:fill="FFFFFF"/>
              </w:rPr>
              <w:t>состояние неудовлетворительное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Г) Электрическая подстанция, назначение: нежилое, кадастровый номер: 50:14:0030102:241, количество этажей: 1, общая площадь 34,6 кв. м., по адресу: Московская область, Щелковский р-н, д. Орлово </w:t>
            </w:r>
            <w:r w:rsidR="00420738" w:rsidRPr="00420738">
              <w:rPr>
                <w:color w:val="333333"/>
                <w:sz w:val="22"/>
                <w:szCs w:val="22"/>
                <w:shd w:val="clear" w:color="auto" w:fill="FFFFFF"/>
              </w:rPr>
              <w:t>состояние неудовлетворительное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 Д) Изолятор, назначение: нежилое, кадастровый номер: 50:14:0030102:242, количество этажей: 1, общая площадь 32,7 кв. м., по адресу: Московская область, Щелковский р-н, д. Орлово</w:t>
            </w:r>
            <w:r w:rsidR="00420738">
              <w:t xml:space="preserve"> </w:t>
            </w:r>
            <w:r w:rsidR="00420738" w:rsidRPr="00420738">
              <w:rPr>
                <w:color w:val="333333"/>
                <w:sz w:val="22"/>
                <w:szCs w:val="22"/>
                <w:shd w:val="clear" w:color="auto" w:fill="FFFFFF"/>
              </w:rPr>
              <w:t>состояние неудовлетворительное</w:t>
            </w:r>
          </w:p>
          <w:p w:rsidR="00420738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Ж</w:t>
            </w:r>
            <w:proofErr w:type="gramStart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)С</w:t>
            </w:r>
            <w:proofErr w:type="gramEnd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пальный корпус №2, назначение: нежилое, кадастровый номер: 50:14:0030102:244, количество этажей: 1, общая площадь 214,3 кв. м., по адресу: Московская область, Щелковский р-н, д. Орлово </w:t>
            </w:r>
            <w:r w:rsidR="00420738" w:rsidRPr="00420738">
              <w:rPr>
                <w:color w:val="333333"/>
                <w:sz w:val="22"/>
                <w:szCs w:val="22"/>
                <w:shd w:val="clear" w:color="auto" w:fill="FFFFFF"/>
              </w:rPr>
              <w:t xml:space="preserve">состояние неудовлетворительное 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З) Спальный корпус №1, назначение: нежилое, кадастровый номер: 50:14:0030102:249, количество этажей: 1, общая площадь 214,2 кв. м., по адресу: </w:t>
            </w: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Московская область, Щелковский р-н, д. Орлово </w:t>
            </w:r>
            <w:r w:rsidR="00420738" w:rsidRPr="00420738">
              <w:rPr>
                <w:color w:val="333333"/>
                <w:sz w:val="22"/>
                <w:szCs w:val="22"/>
                <w:shd w:val="clear" w:color="auto" w:fill="FFFFFF"/>
              </w:rPr>
              <w:t>состояние неудовлетворительное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Е</w:t>
            </w:r>
            <w:proofErr w:type="gramStart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)Г</w:t>
            </w:r>
            <w:proofErr w:type="gramEnd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ражданское нежилое (жилой дом щитовой), кадастровый номер: 50:14:0030102:254, количество этажей: 1, общая площадь 56,8 кв. м., по адресу: Московская область, Щелковский р-н, д. Орлово </w:t>
            </w:r>
            <w:r w:rsidR="00420738" w:rsidRPr="00420738">
              <w:rPr>
                <w:color w:val="333333"/>
                <w:sz w:val="22"/>
                <w:szCs w:val="22"/>
                <w:shd w:val="clear" w:color="auto" w:fill="FFFFFF"/>
              </w:rPr>
              <w:t>состояние неудовлетворительное</w:t>
            </w:r>
          </w:p>
          <w:p w:rsidR="00155E07" w:rsidRPr="00AF213E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 И</w:t>
            </w:r>
            <w:proofErr w:type="gramStart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)З</w:t>
            </w:r>
            <w:proofErr w:type="gramEnd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емельный участок, кадастровый номер: 50:14:0030102:66, категория земель: земли особо охраняемых территорий и объектов, разрешенное использование: под пионерский лагерь "Берёзка", общая площадь 71 662 кв. м., по адресу: Московская область, Щелковский р-н, д. Орлово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3F3F3B" w:rsidP="00155E07">
            <w:pPr>
              <w:rPr>
                <w:sz w:val="22"/>
                <w:szCs w:val="22"/>
              </w:rPr>
            </w:pPr>
            <w:r w:rsidRPr="003F3F3B">
              <w:rPr>
                <w:sz w:val="22"/>
                <w:szCs w:val="22"/>
              </w:rPr>
              <w:lastRenderedPageBreak/>
              <w:t>Московская область, Щелковский р-н, д. Орлово</w:t>
            </w: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r w:rsidR="00D45E11" w:rsidRPr="00D74117">
        <w:rPr>
          <w:sz w:val="24"/>
          <w:szCs w:val="24"/>
        </w:rPr>
        <w:t>www.bankruptcy.lot-online.ru</w:t>
      </w:r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</w:t>
      </w:r>
      <w:r w:rsidR="003F3F3B">
        <w:rPr>
          <w:sz w:val="22"/>
          <w:szCs w:val="22"/>
        </w:rPr>
        <w:t xml:space="preserve"> </w:t>
      </w:r>
      <w:r w:rsidRPr="00AF213E">
        <w:rPr>
          <w:sz w:val="22"/>
          <w:szCs w:val="22"/>
        </w:rPr>
        <w:t xml:space="preserve">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r w:rsidR="00D45E11" w:rsidRPr="00D74117">
        <w:rPr>
          <w:szCs w:val="24"/>
        </w:rPr>
        <w:t>www.bankruptcy.lot-online.ru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физлица,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А</w:t>
            </w:r>
            <w:proofErr w:type="gramStart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)Ж</w:t>
            </w:r>
            <w:proofErr w:type="gramEnd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илой дом, назначение: нежилое, кадастровый номер: 50:14:0000000:122892, количество этажей: 1, общая площадь 82,1 кв. м., 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Б) Жилой дом, назначение: жилое, кадастровый номер: 50:14:0000000:123989, количество этажей: 1, общая площадь 100,4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кв. м., </w:t>
            </w: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 В) Здание пионерского лагеря, назначение: нежилое, кадастровый номер: 50:14:0030102:238, количество этажей: 1, общ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ая площадь 222,7 кв. м., </w:t>
            </w: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Г) Электрическая подстанция, назначение: нежилое, кадастровый номер: 50:14:0030102:241, количество этажей: 1, общая площадь 34,6 к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в. м., 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 Д) Изолятор, назначение: нежилое, кадастровый номер: 50:14:0030102:242, количество этажей: 1, общая площадь 32,7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кв. м., 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Ж</w:t>
            </w:r>
            <w:proofErr w:type="gramStart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)С</w:t>
            </w:r>
            <w:proofErr w:type="gramEnd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пальный корпус №2, назначение: нежилое, кадастровый номер: </w:t>
            </w: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50:14:0030102:244, количество этажей: 1, общая площадь 214,3 к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в. м., 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З) Спальный корпус №1, назначение: нежилое, кадастровый номер: 50:14:0030102:249, количество этажей: 1, общая площадь 214,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2 кв. м., </w:t>
            </w:r>
          </w:p>
          <w:p w:rsidR="003F3F3B" w:rsidRPr="003F3F3B" w:rsidRDefault="003F3F3B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Е</w:t>
            </w:r>
            <w:proofErr w:type="gramStart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)Г</w:t>
            </w:r>
            <w:proofErr w:type="gramEnd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ражданское нежилое (жилой дом щитовой), кадастровый номер: 50:14:0030102:254, количество этажей: 1, общая площадь 56,8 к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в. м., </w:t>
            </w:r>
          </w:p>
          <w:p w:rsidR="0078007A" w:rsidRPr="00AF213E" w:rsidRDefault="003F3F3B" w:rsidP="003F3F3B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 И</w:t>
            </w:r>
            <w:proofErr w:type="gramStart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)З</w:t>
            </w:r>
            <w:proofErr w:type="gramEnd"/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>емельный участок, кадастровый номер: 50:14:0030102:66, категория земель: земли особо охраняемых территорий и объектов, разрешенное использование: под пио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нерский лагерь "Берёзка", общая </w:t>
            </w:r>
            <w:r w:rsidRPr="003F3F3B">
              <w:rPr>
                <w:color w:val="333333"/>
                <w:sz w:val="22"/>
                <w:szCs w:val="22"/>
                <w:shd w:val="clear" w:color="auto" w:fill="FFFFFF"/>
              </w:rPr>
              <w:t xml:space="preserve">площадь 71 662 кв. м.,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3F3F3B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</w:t>
      </w:r>
      <w:proofErr w:type="gramStart"/>
      <w:r w:rsidRPr="00AF213E">
        <w:rPr>
          <w:sz w:val="22"/>
          <w:szCs w:val="22"/>
        </w:rPr>
        <w:t>на</w:t>
      </w:r>
      <w:proofErr w:type="gramEnd"/>
      <w:r w:rsidRPr="00AF213E">
        <w:rPr>
          <w:sz w:val="22"/>
          <w:szCs w:val="22"/>
        </w:rPr>
        <w:t xml:space="preserve"> </w:t>
      </w:r>
    </w:p>
    <w:p w:rsidR="003F3F3B" w:rsidRDefault="003F3F3B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>
        <w:rPr>
          <w:sz w:val="22"/>
          <w:szCs w:val="22"/>
        </w:rPr>
        <w:t xml:space="preserve">на расчетный </w:t>
      </w:r>
      <w:r w:rsidRPr="003F3F3B">
        <w:rPr>
          <w:sz w:val="22"/>
          <w:szCs w:val="22"/>
        </w:rPr>
        <w:t xml:space="preserve">  счет</w:t>
      </w:r>
      <w:r>
        <w:rPr>
          <w:sz w:val="22"/>
          <w:szCs w:val="22"/>
        </w:rPr>
        <w:t xml:space="preserve"> </w:t>
      </w:r>
      <w:r w:rsidRPr="003F3F3B">
        <w:rPr>
          <w:sz w:val="22"/>
          <w:szCs w:val="22"/>
        </w:rPr>
        <w:t xml:space="preserve"> ООО «</w:t>
      </w:r>
      <w:proofErr w:type="spellStart"/>
      <w:r w:rsidRPr="003F3F3B">
        <w:rPr>
          <w:sz w:val="22"/>
          <w:szCs w:val="22"/>
        </w:rPr>
        <w:t>Поспект</w:t>
      </w:r>
      <w:proofErr w:type="spellEnd"/>
      <w:r w:rsidRPr="003F3F3B">
        <w:rPr>
          <w:sz w:val="22"/>
          <w:szCs w:val="22"/>
        </w:rPr>
        <w:t>», ИНН: 5018049599, ОГРН 1025002040139 КПП: 501801001  специаль</w:t>
      </w:r>
      <w:r>
        <w:rPr>
          <w:sz w:val="22"/>
          <w:szCs w:val="22"/>
        </w:rPr>
        <w:t xml:space="preserve">ный  счет  </w:t>
      </w:r>
      <w:r w:rsidRPr="003F3F3B">
        <w:rPr>
          <w:sz w:val="22"/>
          <w:szCs w:val="22"/>
        </w:rPr>
        <w:t xml:space="preserve"> №40702810437000007598Дополнительный офис №8614/0069  Волго-Вятский банк ПАО Сбербанк, </w:t>
      </w:r>
      <w:proofErr w:type="spellStart"/>
      <w:r w:rsidRPr="003F3F3B">
        <w:rPr>
          <w:sz w:val="22"/>
          <w:szCs w:val="22"/>
        </w:rPr>
        <w:t>кор</w:t>
      </w:r>
      <w:proofErr w:type="spellEnd"/>
      <w:r w:rsidRPr="003F3F3B">
        <w:rPr>
          <w:sz w:val="22"/>
          <w:szCs w:val="22"/>
        </w:rPr>
        <w:t>. сч.30101810300000000630 , БИК 048860630</w:t>
      </w:r>
    </w:p>
    <w:p w:rsidR="003029C6" w:rsidRPr="00AF213E" w:rsidRDefault="003F3F3B" w:rsidP="003F3F3B">
      <w:pPr>
        <w:pStyle w:val="af"/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04DD4" w:rsidRPr="00AF213E">
        <w:rPr>
          <w:rFonts w:ascii="Times New Roman" w:hAnsi="Times New Roman"/>
        </w:rPr>
        <w:t>2.6.</w:t>
      </w:r>
      <w:r w:rsidR="00704DD4"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>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E28E2">
        <w:rPr>
          <w:sz w:val="22"/>
          <w:szCs w:val="22"/>
        </w:rPr>
        <w:t>5 (Пяти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704DD4" w:rsidRPr="007E28E2" w:rsidRDefault="007E28E2" w:rsidP="007E28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3.6</w:t>
      </w:r>
      <w:r w:rsidRPr="007E28E2">
        <w:rPr>
          <w:sz w:val="22"/>
          <w:szCs w:val="22"/>
        </w:rPr>
        <w:t xml:space="preserve">Настоящий Договор составлен на 3 (трех) страницах в 3 (трех) экземплярах, имеющих одинаковую </w:t>
      </w:r>
      <w:proofErr w:type="spellStart"/>
      <w:proofErr w:type="gramStart"/>
      <w:r w:rsidRPr="007E28E2">
        <w:rPr>
          <w:sz w:val="22"/>
          <w:szCs w:val="22"/>
        </w:rPr>
        <w:t>юри-дическую</w:t>
      </w:r>
      <w:proofErr w:type="spellEnd"/>
      <w:proofErr w:type="gramEnd"/>
      <w:r w:rsidRPr="007E28E2">
        <w:rPr>
          <w:sz w:val="22"/>
          <w:szCs w:val="22"/>
        </w:rPr>
        <w:t xml:space="preserve"> силу, один из которых передается «Продавцу», второй - «Покупателю», третий в регистрирующий орган.</w:t>
      </w: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</w:t>
      </w:r>
      <w:r w:rsidR="007E28E2">
        <w:rPr>
          <w:color w:val="000000"/>
          <w:sz w:val="22"/>
          <w:szCs w:val="22"/>
          <w:shd w:val="clear" w:color="auto" w:fill="FFFFFF"/>
        </w:rPr>
        <w:t xml:space="preserve"> полной оплаты за имущество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7505D9" w:rsidRDefault="007505D9" w:rsidP="00704DD4">
      <w:pPr>
        <w:ind w:firstLine="426"/>
        <w:jc w:val="both"/>
        <w:rPr>
          <w:sz w:val="22"/>
          <w:szCs w:val="22"/>
        </w:rPr>
      </w:pPr>
    </w:p>
    <w:p w:rsidR="00223457" w:rsidRDefault="00223457" w:rsidP="00704DD4">
      <w:pPr>
        <w:ind w:firstLine="426"/>
        <w:jc w:val="both"/>
        <w:rPr>
          <w:sz w:val="22"/>
          <w:szCs w:val="22"/>
        </w:rPr>
      </w:pP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</w:t>
      </w:r>
      <w:r w:rsidR="007E28E2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кту приема-передачи не позднее 5-ти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="007E28E2">
        <w:rPr>
          <w:color w:val="000000"/>
          <w:sz w:val="22"/>
          <w:szCs w:val="22"/>
          <w:shd w:val="clear" w:color="auto" w:fill="FFFFFF"/>
        </w:rPr>
        <w:t>В течение 5-ти (пяти</w:t>
      </w:r>
      <w:r w:rsidRPr="00AF213E">
        <w:rPr>
          <w:color w:val="000000"/>
          <w:sz w:val="22"/>
          <w:szCs w:val="22"/>
          <w:shd w:val="clear" w:color="auto" w:fill="FFFFFF"/>
        </w:rPr>
        <w:t>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C166AC" w:rsidRPr="00AF213E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AF213E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F213E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7E28E2" w:rsidRPr="007E28E2" w:rsidRDefault="007E28E2" w:rsidP="007E28E2">
            <w:pPr>
              <w:jc w:val="both"/>
              <w:rPr>
                <w:bCs/>
              </w:rPr>
            </w:pPr>
            <w:bookmarkStart w:id="1" w:name="_GoBack"/>
            <w:r w:rsidRPr="007E28E2">
              <w:rPr>
                <w:bCs/>
              </w:rPr>
              <w:t>Общество с ограниченной ответственностью ООО «Проспект»</w:t>
            </w:r>
          </w:p>
          <w:p w:rsidR="007E28E2" w:rsidRPr="007E28E2" w:rsidRDefault="007E28E2" w:rsidP="007E28E2">
            <w:pPr>
              <w:jc w:val="both"/>
              <w:rPr>
                <w:bCs/>
              </w:rPr>
            </w:pPr>
            <w:proofErr w:type="gramStart"/>
            <w:r w:rsidRPr="007E28E2">
              <w:rPr>
                <w:bCs/>
              </w:rPr>
              <w:t>Юридический адрес: 141092, Московская область, г. Королев, ул. Лесная (</w:t>
            </w:r>
            <w:proofErr w:type="spellStart"/>
            <w:r w:rsidRPr="007E28E2">
              <w:rPr>
                <w:bCs/>
              </w:rPr>
              <w:t>мкр</w:t>
            </w:r>
            <w:proofErr w:type="spellEnd"/>
            <w:r w:rsidRPr="007E28E2">
              <w:rPr>
                <w:bCs/>
              </w:rPr>
              <w:t>.</w:t>
            </w:r>
            <w:proofErr w:type="gramEnd"/>
            <w:r w:rsidRPr="007E28E2">
              <w:rPr>
                <w:bCs/>
              </w:rPr>
              <w:t xml:space="preserve"> Юбилейный</w:t>
            </w:r>
            <w:proofErr w:type="gramStart"/>
            <w:r w:rsidRPr="007E28E2">
              <w:rPr>
                <w:bCs/>
              </w:rPr>
              <w:t>)д</w:t>
            </w:r>
            <w:proofErr w:type="gramEnd"/>
            <w:r w:rsidRPr="007E28E2">
              <w:rPr>
                <w:bCs/>
              </w:rPr>
              <w:t>.18. пом. 6</w:t>
            </w:r>
          </w:p>
          <w:p w:rsidR="007E28E2" w:rsidRPr="007E28E2" w:rsidRDefault="007E28E2" w:rsidP="007E28E2">
            <w:pPr>
              <w:jc w:val="both"/>
              <w:rPr>
                <w:bCs/>
              </w:rPr>
            </w:pPr>
            <w:r w:rsidRPr="007E28E2">
              <w:rPr>
                <w:bCs/>
              </w:rPr>
              <w:t xml:space="preserve">ИНН: 5018049599,  КПП: 501801001   </w:t>
            </w:r>
          </w:p>
          <w:p w:rsidR="007E28E2" w:rsidRPr="007E28E2" w:rsidRDefault="007E28E2" w:rsidP="007E28E2">
            <w:pPr>
              <w:jc w:val="both"/>
              <w:rPr>
                <w:bCs/>
              </w:rPr>
            </w:pPr>
            <w:r w:rsidRPr="007E28E2">
              <w:rPr>
                <w:bCs/>
              </w:rPr>
              <w:t xml:space="preserve">Банк получателя: Дополнительный офис №8614/0069  Волго-Вятский банк ПАО Сбербанк, </w:t>
            </w:r>
            <w:proofErr w:type="spellStart"/>
            <w:r w:rsidRPr="007E28E2">
              <w:rPr>
                <w:bCs/>
              </w:rPr>
              <w:t>кор</w:t>
            </w:r>
            <w:proofErr w:type="spellEnd"/>
            <w:r w:rsidRPr="007E28E2">
              <w:rPr>
                <w:bCs/>
              </w:rPr>
              <w:t>. сч.30101810300000000630 , БИК 048860630</w:t>
            </w:r>
          </w:p>
          <w:p w:rsidR="00D45E11" w:rsidRPr="0034255D" w:rsidRDefault="007E28E2" w:rsidP="007E28E2">
            <w:pPr>
              <w:jc w:val="both"/>
              <w:rPr>
                <w:bCs/>
              </w:rPr>
            </w:pPr>
            <w:r w:rsidRPr="007E28E2">
              <w:rPr>
                <w:bCs/>
              </w:rPr>
              <w:t>Счет пол</w:t>
            </w:r>
            <w:r>
              <w:rPr>
                <w:bCs/>
              </w:rPr>
              <w:t xml:space="preserve">учателя: № </w:t>
            </w:r>
            <w:r w:rsidRPr="007E28E2">
              <w:rPr>
                <w:bCs/>
              </w:rPr>
              <w:t>40702810437000007598.</w:t>
            </w:r>
          </w:p>
          <w:p w:rsidR="00A441DD" w:rsidRPr="00AF213E" w:rsidRDefault="00D45E11" w:rsidP="00D45E1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Конкурсный </w:t>
            </w:r>
            <w:r w:rsidRPr="0034255D">
              <w:rPr>
                <w:bCs/>
              </w:rPr>
              <w:t>управляющий</w:t>
            </w: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AF213E" w:rsidRDefault="00D45E1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</w:t>
            </w:r>
            <w:r w:rsidR="00847E24" w:rsidRPr="00AF213E">
              <w:rPr>
                <w:bCs/>
                <w:sz w:val="22"/>
                <w:szCs w:val="22"/>
              </w:rPr>
              <w:t>______</w:t>
            </w:r>
            <w:r w:rsidR="00C166AC" w:rsidRPr="00AF213E">
              <w:rPr>
                <w:bCs/>
                <w:sz w:val="22"/>
                <w:szCs w:val="22"/>
              </w:rPr>
              <w:t xml:space="preserve">_ </w:t>
            </w:r>
            <w:r w:rsidR="00A441DD" w:rsidRPr="00AF213E">
              <w:rPr>
                <w:bCs/>
                <w:sz w:val="22"/>
                <w:szCs w:val="22"/>
              </w:rPr>
              <w:t>/</w:t>
            </w:r>
            <w:r w:rsidR="007E28E2">
              <w:rPr>
                <w:sz w:val="24"/>
                <w:szCs w:val="24"/>
              </w:rPr>
              <w:t xml:space="preserve"> С.В. Дегтяр</w:t>
            </w:r>
            <w:r w:rsidRPr="007153B5">
              <w:rPr>
                <w:sz w:val="24"/>
                <w:szCs w:val="24"/>
              </w:rPr>
              <w:t xml:space="preserve"> </w:t>
            </w:r>
            <w:r w:rsidR="00B13906" w:rsidRPr="00AF213E">
              <w:rPr>
                <w:bCs/>
                <w:sz w:val="22"/>
                <w:szCs w:val="22"/>
              </w:rPr>
              <w:t>/</w:t>
            </w:r>
          </w:p>
          <w:p w:rsidR="00C166AC" w:rsidRPr="00AF213E" w:rsidRDefault="00C166AC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М.П.</w:t>
            </w:r>
            <w:bookmarkEnd w:id="1"/>
          </w:p>
        </w:tc>
        <w:tc>
          <w:tcPr>
            <w:tcW w:w="4713" w:type="dxa"/>
            <w:shd w:val="clear" w:color="auto" w:fill="auto"/>
          </w:tcPr>
          <w:p w:rsidR="00C166AC" w:rsidRPr="00206566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6566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Pr="00206566" w:rsidRDefault="0017198C" w:rsidP="00C166AC">
            <w:pPr>
              <w:rPr>
                <w:sz w:val="22"/>
                <w:szCs w:val="22"/>
              </w:rPr>
            </w:pPr>
          </w:p>
          <w:p w:rsidR="0020782A" w:rsidRPr="00206566" w:rsidRDefault="0020782A" w:rsidP="00C166AC">
            <w:pPr>
              <w:rPr>
                <w:sz w:val="22"/>
                <w:szCs w:val="22"/>
              </w:rPr>
            </w:pPr>
          </w:p>
          <w:p w:rsidR="00AF213E" w:rsidRDefault="00AF213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B47CF8" w:rsidRPr="00206566" w:rsidRDefault="00B47CF8" w:rsidP="00C166AC">
            <w:pPr>
              <w:rPr>
                <w:sz w:val="22"/>
                <w:szCs w:val="22"/>
              </w:rPr>
            </w:pPr>
          </w:p>
          <w:p w:rsidR="00262B12" w:rsidRPr="00206566" w:rsidRDefault="003C638F" w:rsidP="00C166AC">
            <w:pPr>
              <w:rPr>
                <w:sz w:val="22"/>
                <w:szCs w:val="22"/>
              </w:rPr>
            </w:pPr>
            <w:r w:rsidRPr="00206566">
              <w:rPr>
                <w:sz w:val="22"/>
                <w:szCs w:val="22"/>
              </w:rPr>
              <w:t>________________</w:t>
            </w:r>
            <w:r w:rsidR="00CE2C1B" w:rsidRPr="00206566">
              <w:rPr>
                <w:sz w:val="22"/>
                <w:szCs w:val="22"/>
              </w:rPr>
              <w:t>__</w:t>
            </w:r>
            <w:r w:rsidR="00847E24" w:rsidRPr="00206566">
              <w:rPr>
                <w:sz w:val="22"/>
                <w:szCs w:val="22"/>
              </w:rPr>
              <w:t>_______</w:t>
            </w:r>
            <w:r w:rsidR="00CE2C1B" w:rsidRPr="00206566">
              <w:rPr>
                <w:sz w:val="22"/>
                <w:szCs w:val="22"/>
              </w:rPr>
              <w:t>__</w:t>
            </w:r>
            <w:r w:rsidRPr="00206566">
              <w:rPr>
                <w:sz w:val="22"/>
                <w:szCs w:val="22"/>
              </w:rPr>
              <w:t>/</w:t>
            </w:r>
            <w:r w:rsidR="0017198C">
              <w:rPr>
                <w:sz w:val="22"/>
                <w:szCs w:val="22"/>
              </w:rPr>
              <w:t>____________</w:t>
            </w:r>
            <w:r w:rsidRPr="00206566">
              <w:rPr>
                <w:sz w:val="22"/>
                <w:szCs w:val="22"/>
              </w:rPr>
              <w:t>/</w:t>
            </w:r>
          </w:p>
          <w:p w:rsidR="003C638F" w:rsidRPr="00206566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29" w:rsidRDefault="00221929" w:rsidP="003029C6">
      <w:r>
        <w:separator/>
      </w:r>
    </w:p>
  </w:endnote>
  <w:endnote w:type="continuationSeparator" w:id="0">
    <w:p w:rsidR="00221929" w:rsidRDefault="00221929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C6" w:rsidRDefault="000F7423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0738">
      <w:rPr>
        <w:noProof/>
      </w:rPr>
      <w:t>5</w:t>
    </w:r>
    <w:r>
      <w:rPr>
        <w:noProof/>
      </w:rPr>
      <w:fldChar w:fldCharType="end"/>
    </w:r>
  </w:p>
  <w:p w:rsidR="003029C6" w:rsidRDefault="003029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29" w:rsidRDefault="00221929" w:rsidP="003029C6">
      <w:r>
        <w:separator/>
      </w:r>
    </w:p>
  </w:footnote>
  <w:footnote w:type="continuationSeparator" w:id="0">
    <w:p w:rsidR="00221929" w:rsidRDefault="00221929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3"/>
    <w:rsid w:val="000130D3"/>
    <w:rsid w:val="000146E5"/>
    <w:rsid w:val="000234D2"/>
    <w:rsid w:val="00034AD2"/>
    <w:rsid w:val="00037E2C"/>
    <w:rsid w:val="000562B1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0F7423"/>
    <w:rsid w:val="00102FE6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1929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3F3F3B"/>
    <w:rsid w:val="00401BF0"/>
    <w:rsid w:val="00413E2B"/>
    <w:rsid w:val="004145BF"/>
    <w:rsid w:val="00420738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B6E"/>
    <w:rsid w:val="007E28E2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B5E46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AF3025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света</cp:lastModifiedBy>
  <cp:revision>4</cp:revision>
  <cp:lastPrinted>2017-04-18T12:47:00Z</cp:lastPrinted>
  <dcterms:created xsi:type="dcterms:W3CDTF">2022-01-06T16:23:00Z</dcterms:created>
  <dcterms:modified xsi:type="dcterms:W3CDTF">2022-01-06T16:32:00Z</dcterms:modified>
</cp:coreProperties>
</file>