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06A617B6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C26E90" w:rsidRPr="00C26E90">
        <w:rPr>
          <w:b/>
          <w:sz w:val="22"/>
          <w:szCs w:val="22"/>
        </w:rPr>
        <w:t>АО «Трест «</w:t>
      </w:r>
      <w:proofErr w:type="spellStart"/>
      <w:r w:rsidR="00C26E90" w:rsidRPr="00C26E90">
        <w:rPr>
          <w:b/>
          <w:sz w:val="22"/>
          <w:szCs w:val="22"/>
        </w:rPr>
        <w:t>Шахтспецстрой</w:t>
      </w:r>
      <w:proofErr w:type="spellEnd"/>
      <w:r w:rsidR="00C26E90" w:rsidRPr="00C26E90">
        <w:rPr>
          <w:b/>
          <w:sz w:val="22"/>
          <w:szCs w:val="22"/>
        </w:rPr>
        <w:t xml:space="preserve">» </w:t>
      </w:r>
      <w:r w:rsidR="00C26E90" w:rsidRPr="00C26E90">
        <w:rPr>
          <w:sz w:val="22"/>
          <w:szCs w:val="22"/>
        </w:rPr>
        <w:t>(101000, Москва, пер. Архангельский, д. 3, стр. 1, комн. 8; ИНН 7701667331 , ОГРН 1067746761972</w:t>
      </w:r>
      <w:r w:rsidR="006D672D" w:rsidRPr="00C26E90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r w:rsidR="00C26E90" w:rsidRPr="00C26E90">
        <w:rPr>
          <w:sz w:val="22"/>
          <w:szCs w:val="22"/>
        </w:rPr>
        <w:t>Носов</w:t>
      </w:r>
      <w:r w:rsidR="00C26E90">
        <w:rPr>
          <w:sz w:val="22"/>
          <w:szCs w:val="22"/>
        </w:rPr>
        <w:t>ым</w:t>
      </w:r>
      <w:r w:rsidR="00C26E90" w:rsidRPr="00C26E90">
        <w:rPr>
          <w:sz w:val="22"/>
          <w:szCs w:val="22"/>
        </w:rPr>
        <w:t xml:space="preserve"> Сер</w:t>
      </w:r>
      <w:r w:rsidR="00C26E90">
        <w:rPr>
          <w:sz w:val="22"/>
          <w:szCs w:val="22"/>
        </w:rPr>
        <w:t>геем Олеговичем, (ИНН 112001389992 </w:t>
      </w:r>
      <w:r w:rsidR="00C26E90" w:rsidRPr="00C26E90">
        <w:rPr>
          <w:sz w:val="22"/>
          <w:szCs w:val="22"/>
        </w:rPr>
        <w:t>, СНИЛС 133-693-387 78), член СРО «САУ «Авангард» (ИНН 7705479434 , ОГРН 1027705031320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C26E90" w:rsidRPr="00C26E90">
        <w:rPr>
          <w:sz w:val="22"/>
          <w:szCs w:val="22"/>
        </w:rPr>
        <w:t>Арбитражного суда г. Москвы от 18.01.2021 г. по делу №А40-36625/2020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5343A5CF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 xml:space="preserve">в </w:t>
      </w:r>
      <w:r w:rsidR="000F50F2">
        <w:rPr>
          <w:sz w:val="22"/>
          <w:szCs w:val="22"/>
        </w:rPr>
        <w:t xml:space="preserve">повторных </w:t>
      </w:r>
      <w:r w:rsidR="00692A23">
        <w:rPr>
          <w:sz w:val="22"/>
          <w:szCs w:val="22"/>
        </w:rPr>
        <w:t>торгах</w:t>
      </w:r>
      <w:r w:rsidR="00692A23" w:rsidRPr="00692A23">
        <w:rPr>
          <w:sz w:val="22"/>
          <w:szCs w:val="22"/>
        </w:rPr>
        <w:t xml:space="preserve"> посредством публичного предложения с открытой формой предоставления о цене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692A23">
        <w:rPr>
          <w:b/>
          <w:sz w:val="22"/>
          <w:szCs w:val="22"/>
        </w:rPr>
        <w:t>с</w:t>
      </w:r>
      <w:r w:rsidR="00725017" w:rsidRPr="00DB5936">
        <w:rPr>
          <w:b/>
          <w:sz w:val="22"/>
          <w:szCs w:val="22"/>
        </w:rPr>
        <w:t xml:space="preserve"> </w:t>
      </w:r>
      <w:r w:rsidR="007E46E0">
        <w:rPr>
          <w:b/>
          <w:color w:val="auto"/>
          <w:sz w:val="22"/>
          <w:szCs w:val="22"/>
        </w:rPr>
        <w:t>31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7E46E0">
        <w:rPr>
          <w:b/>
          <w:color w:val="auto"/>
          <w:sz w:val="22"/>
          <w:szCs w:val="22"/>
        </w:rPr>
        <w:t>августа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0F50F2">
        <w:rPr>
          <w:b/>
          <w:color w:val="auto"/>
          <w:sz w:val="22"/>
          <w:szCs w:val="22"/>
        </w:rPr>
        <w:t>2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64E3F3C0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bookmarkStart w:id="0" w:name="_GoBack"/>
      <w:r w:rsidRPr="007E46E0">
        <w:rPr>
          <w:sz w:val="22"/>
          <w:szCs w:val="22"/>
        </w:rPr>
        <w:t>Лот №1 Движимое имущество, находящееся в Республике Казахстан:</w:t>
      </w:r>
    </w:p>
    <w:p w14:paraId="180AEFBC" w14:textId="39E57065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b/>
          <w:sz w:val="22"/>
          <w:szCs w:val="22"/>
        </w:rPr>
      </w:pPr>
      <w:r w:rsidRPr="007E46E0">
        <w:rPr>
          <w:sz w:val="22"/>
          <w:szCs w:val="22"/>
        </w:rPr>
        <w:t>Залоговое имущество</w:t>
      </w:r>
      <w:r>
        <w:rPr>
          <w:sz w:val="22"/>
          <w:szCs w:val="22"/>
        </w:rPr>
        <w:t xml:space="preserve"> </w:t>
      </w:r>
      <w:r w:rsidRPr="007E46E0">
        <w:rPr>
          <w:b/>
          <w:sz w:val="22"/>
          <w:szCs w:val="22"/>
        </w:rPr>
        <w:t>ПАО «Банк «Санкт-Петербург»</w:t>
      </w:r>
      <w:r w:rsidRPr="007E46E0">
        <w:rPr>
          <w:sz w:val="22"/>
          <w:szCs w:val="22"/>
        </w:rPr>
        <w:t xml:space="preserve"> - </w:t>
      </w:r>
    </w:p>
    <w:p w14:paraId="769BB0BF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1.</w:t>
      </w:r>
      <w:r w:rsidRPr="007E46E0">
        <w:rPr>
          <w:sz w:val="22"/>
          <w:szCs w:val="22"/>
        </w:rPr>
        <w:tab/>
        <w:t>Ляда разгрузочная БПСМ-3 (б/у), инв. № 000000497</w:t>
      </w:r>
    </w:p>
    <w:p w14:paraId="4DD88B18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2.</w:t>
      </w:r>
      <w:r w:rsidRPr="007E46E0">
        <w:rPr>
          <w:sz w:val="22"/>
          <w:szCs w:val="22"/>
        </w:rPr>
        <w:tab/>
        <w:t>Бадья V-3 м3, инв. № 1113</w:t>
      </w:r>
    </w:p>
    <w:p w14:paraId="075CED5E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3.</w:t>
      </w:r>
      <w:r w:rsidRPr="007E46E0">
        <w:rPr>
          <w:sz w:val="22"/>
          <w:szCs w:val="22"/>
        </w:rPr>
        <w:tab/>
        <w:t>Бадья V-3 м3, инв. № 1061</w:t>
      </w:r>
    </w:p>
    <w:p w14:paraId="130AD3DE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4.</w:t>
      </w:r>
      <w:r w:rsidRPr="007E46E0">
        <w:rPr>
          <w:sz w:val="22"/>
          <w:szCs w:val="22"/>
        </w:rPr>
        <w:tab/>
        <w:t>Лебедка ЛПЭП-10, инв. № 1/327</w:t>
      </w:r>
    </w:p>
    <w:p w14:paraId="216E9F47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5.</w:t>
      </w:r>
      <w:r w:rsidRPr="007E46E0">
        <w:rPr>
          <w:sz w:val="22"/>
          <w:szCs w:val="22"/>
        </w:rPr>
        <w:tab/>
        <w:t>Тельфер, грузоподъемность 5 тонн, высота подъема – 6 м, инв. № 000000433</w:t>
      </w:r>
    </w:p>
    <w:p w14:paraId="2BE1200A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6.</w:t>
      </w:r>
      <w:r w:rsidRPr="007E46E0">
        <w:rPr>
          <w:sz w:val="22"/>
          <w:szCs w:val="22"/>
        </w:rPr>
        <w:tab/>
        <w:t>Винтовой компрессор INVERSYS 125, инв. № 000000577</w:t>
      </w:r>
    </w:p>
    <w:p w14:paraId="7696F0C7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7.</w:t>
      </w:r>
      <w:r w:rsidRPr="007E46E0">
        <w:rPr>
          <w:sz w:val="22"/>
          <w:szCs w:val="22"/>
        </w:rPr>
        <w:tab/>
        <w:t>Шкаф главного привода, инв. № 000000543</w:t>
      </w:r>
    </w:p>
    <w:p w14:paraId="179FF7A2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8.</w:t>
      </w:r>
      <w:r w:rsidRPr="007E46E0">
        <w:rPr>
          <w:sz w:val="22"/>
          <w:szCs w:val="22"/>
        </w:rPr>
        <w:tab/>
        <w:t>Автомобиль УАЗ 31514 (</w:t>
      </w:r>
      <w:proofErr w:type="spellStart"/>
      <w:r w:rsidRPr="007E46E0">
        <w:rPr>
          <w:sz w:val="22"/>
          <w:szCs w:val="22"/>
        </w:rPr>
        <w:t>г.р.н</w:t>
      </w:r>
      <w:proofErr w:type="spellEnd"/>
      <w:r w:rsidRPr="007E46E0">
        <w:rPr>
          <w:sz w:val="22"/>
          <w:szCs w:val="22"/>
        </w:rPr>
        <w:t>. К 476 РУ 31), инв. № К-476</w:t>
      </w:r>
    </w:p>
    <w:p w14:paraId="6EEBC6B5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9.</w:t>
      </w:r>
      <w:r w:rsidRPr="007E46E0">
        <w:rPr>
          <w:sz w:val="22"/>
          <w:szCs w:val="22"/>
        </w:rPr>
        <w:tab/>
        <w:t>Компрессорная станция переносная ПКС-1,75А, инв. № 413</w:t>
      </w:r>
    </w:p>
    <w:p w14:paraId="66330B2F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10.</w:t>
      </w:r>
      <w:r w:rsidRPr="007E46E0">
        <w:rPr>
          <w:sz w:val="22"/>
          <w:szCs w:val="22"/>
        </w:rPr>
        <w:tab/>
        <w:t>Насос К 100-65-200 с двигателем 30/3000 кВт, инв. № 337</w:t>
      </w:r>
    </w:p>
    <w:p w14:paraId="4F40E69C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11.</w:t>
      </w:r>
      <w:r w:rsidRPr="007E46E0">
        <w:rPr>
          <w:sz w:val="22"/>
          <w:szCs w:val="22"/>
        </w:rPr>
        <w:tab/>
        <w:t>Сварочный аппарат ВД-301, инв. № И-1851</w:t>
      </w:r>
    </w:p>
    <w:p w14:paraId="07DBD507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12.</w:t>
      </w:r>
      <w:r w:rsidRPr="007E46E0">
        <w:rPr>
          <w:sz w:val="22"/>
          <w:szCs w:val="22"/>
        </w:rPr>
        <w:tab/>
        <w:t>Станок заточный, станок сверлильный, инв. № 485</w:t>
      </w:r>
    </w:p>
    <w:p w14:paraId="178825AB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13.</w:t>
      </w:r>
      <w:r w:rsidRPr="007E46E0">
        <w:rPr>
          <w:sz w:val="22"/>
          <w:szCs w:val="22"/>
        </w:rPr>
        <w:tab/>
        <w:t>Станок токарный 1В63Г, инв. № 453</w:t>
      </w:r>
    </w:p>
    <w:p w14:paraId="5D19C678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14.</w:t>
      </w:r>
      <w:r w:rsidRPr="007E46E0">
        <w:rPr>
          <w:sz w:val="22"/>
          <w:szCs w:val="22"/>
        </w:rPr>
        <w:tab/>
        <w:t>Строительное оборудование для заморозки грунта WTL-SR2K-200ECO.А, инв. № 480</w:t>
      </w:r>
    </w:p>
    <w:p w14:paraId="40DFD005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15.</w:t>
      </w:r>
      <w:r w:rsidRPr="007E46E0">
        <w:rPr>
          <w:sz w:val="22"/>
          <w:szCs w:val="22"/>
        </w:rPr>
        <w:tab/>
        <w:t>Строительное оборудование для заморозки грунта WTL-SR2K-200ECO.А, инв. № 482</w:t>
      </w:r>
    </w:p>
    <w:p w14:paraId="653C3544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16.</w:t>
      </w:r>
      <w:r w:rsidRPr="007E46E0">
        <w:rPr>
          <w:sz w:val="22"/>
          <w:szCs w:val="22"/>
        </w:rPr>
        <w:tab/>
        <w:t>Таль электрическая ТЭ54М, грузоподъемность 5 тонн, инв. № 599</w:t>
      </w:r>
    </w:p>
    <w:p w14:paraId="51D46FA8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17.</w:t>
      </w:r>
      <w:r w:rsidRPr="007E46E0">
        <w:rPr>
          <w:sz w:val="22"/>
          <w:szCs w:val="22"/>
        </w:rPr>
        <w:tab/>
        <w:t>Трансформатор ТСЗ-40 380/220, инв. № 537</w:t>
      </w:r>
    </w:p>
    <w:p w14:paraId="5DCC66D5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18.</w:t>
      </w:r>
      <w:r w:rsidRPr="007E46E0">
        <w:rPr>
          <w:sz w:val="22"/>
          <w:szCs w:val="22"/>
        </w:rPr>
        <w:tab/>
        <w:t>Устройство прицепное УПП-8, инв. № 534</w:t>
      </w:r>
    </w:p>
    <w:p w14:paraId="0591DB50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19.</w:t>
      </w:r>
      <w:r w:rsidRPr="007E46E0">
        <w:rPr>
          <w:sz w:val="22"/>
          <w:szCs w:val="22"/>
        </w:rPr>
        <w:tab/>
        <w:t>Камера сборная одностороннего обслуживания 285 1ВВ-600, инв. № 000000528</w:t>
      </w:r>
    </w:p>
    <w:p w14:paraId="47974F0C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20.</w:t>
      </w:r>
      <w:r w:rsidRPr="007E46E0">
        <w:rPr>
          <w:sz w:val="22"/>
          <w:szCs w:val="22"/>
        </w:rPr>
        <w:tab/>
        <w:t>Камера сборная одностороннего обслуживания 285 1ВВ-600, инв. № 000000529</w:t>
      </w:r>
    </w:p>
    <w:p w14:paraId="12C0680A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21.</w:t>
      </w:r>
      <w:r w:rsidRPr="007E46E0">
        <w:rPr>
          <w:sz w:val="22"/>
          <w:szCs w:val="22"/>
        </w:rPr>
        <w:tab/>
        <w:t>Камера сборная одностороннего обслуживания 285 1ВВ-600, инв. № 000000530</w:t>
      </w:r>
    </w:p>
    <w:p w14:paraId="7A63F197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22.</w:t>
      </w:r>
      <w:r w:rsidRPr="007E46E0">
        <w:rPr>
          <w:sz w:val="22"/>
          <w:szCs w:val="22"/>
        </w:rPr>
        <w:tab/>
        <w:t>Камера сборная одностороннего обслуживания 285 14-400 ТН, инв. № 000000531</w:t>
      </w:r>
    </w:p>
    <w:p w14:paraId="67382344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23.</w:t>
      </w:r>
      <w:r w:rsidRPr="007E46E0">
        <w:rPr>
          <w:sz w:val="22"/>
          <w:szCs w:val="22"/>
        </w:rPr>
        <w:tab/>
        <w:t>Ресивер РВ 900.800-04, инв. № 758</w:t>
      </w:r>
    </w:p>
    <w:p w14:paraId="6FADD9D1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24.</w:t>
      </w:r>
      <w:r w:rsidRPr="007E46E0">
        <w:rPr>
          <w:sz w:val="22"/>
          <w:szCs w:val="22"/>
        </w:rPr>
        <w:tab/>
        <w:t>Ресивер РВ 900.800-04, инв. № 659</w:t>
      </w:r>
    </w:p>
    <w:p w14:paraId="7B8A1943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25.</w:t>
      </w:r>
      <w:r w:rsidRPr="007E46E0">
        <w:rPr>
          <w:sz w:val="22"/>
          <w:szCs w:val="22"/>
        </w:rPr>
        <w:tab/>
        <w:t>Ресивер РВ 900.800-04, инв. № 660</w:t>
      </w:r>
    </w:p>
    <w:p w14:paraId="7BF826BB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26.</w:t>
      </w:r>
      <w:r w:rsidRPr="007E46E0">
        <w:rPr>
          <w:sz w:val="22"/>
          <w:szCs w:val="22"/>
        </w:rPr>
        <w:tab/>
      </w:r>
      <w:proofErr w:type="spellStart"/>
      <w:r w:rsidRPr="007E46E0">
        <w:rPr>
          <w:sz w:val="22"/>
          <w:szCs w:val="22"/>
        </w:rPr>
        <w:t>Растворосмеситель</w:t>
      </w:r>
      <w:proofErr w:type="spellEnd"/>
      <w:r w:rsidRPr="007E46E0">
        <w:rPr>
          <w:sz w:val="22"/>
          <w:szCs w:val="22"/>
        </w:rPr>
        <w:t xml:space="preserve"> вертикальный (</w:t>
      </w:r>
      <w:proofErr w:type="spellStart"/>
      <w:r w:rsidRPr="007E46E0">
        <w:rPr>
          <w:sz w:val="22"/>
          <w:szCs w:val="22"/>
        </w:rPr>
        <w:t>пневмомотор</w:t>
      </w:r>
      <w:proofErr w:type="spellEnd"/>
      <w:r w:rsidRPr="007E46E0">
        <w:rPr>
          <w:sz w:val="22"/>
          <w:szCs w:val="22"/>
        </w:rPr>
        <w:t xml:space="preserve"> П8-12), инв. № 000000624</w:t>
      </w:r>
    </w:p>
    <w:p w14:paraId="79F2DCD3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27.</w:t>
      </w:r>
      <w:r w:rsidRPr="007E46E0">
        <w:rPr>
          <w:sz w:val="22"/>
          <w:szCs w:val="22"/>
        </w:rPr>
        <w:tab/>
        <w:t>Трансформатор для прогрева бетона ТСДЭ-80/0,38У3, инв. № 345</w:t>
      </w:r>
    </w:p>
    <w:p w14:paraId="750E8575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28.</w:t>
      </w:r>
      <w:r w:rsidRPr="007E46E0">
        <w:rPr>
          <w:sz w:val="22"/>
          <w:szCs w:val="22"/>
        </w:rPr>
        <w:tab/>
        <w:t>Воздушный винтовой компрессор DVK 180, инв. № 491</w:t>
      </w:r>
    </w:p>
    <w:p w14:paraId="4922CE9E" w14:textId="77777777" w:rsidR="007E46E0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proofErr w:type="spellStart"/>
      <w:r w:rsidRPr="007E46E0">
        <w:rPr>
          <w:sz w:val="22"/>
          <w:szCs w:val="22"/>
        </w:rPr>
        <w:t>Незалоговое</w:t>
      </w:r>
      <w:proofErr w:type="spellEnd"/>
      <w:r w:rsidRPr="007E46E0">
        <w:rPr>
          <w:sz w:val="22"/>
          <w:szCs w:val="22"/>
        </w:rPr>
        <w:t xml:space="preserve"> имущество</w:t>
      </w:r>
    </w:p>
    <w:p w14:paraId="29F07744" w14:textId="6237C97D" w:rsidR="008F437A" w:rsidRPr="007E46E0" w:rsidRDefault="007E46E0" w:rsidP="007E46E0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7E46E0">
        <w:rPr>
          <w:sz w:val="22"/>
          <w:szCs w:val="22"/>
        </w:rPr>
        <w:t>29.</w:t>
      </w:r>
      <w:r w:rsidRPr="007E46E0">
        <w:rPr>
          <w:sz w:val="22"/>
          <w:szCs w:val="22"/>
        </w:rPr>
        <w:tab/>
        <w:t>Сварочный аппарат ВД 315 НАКС, инв. № 839</w:t>
      </w:r>
      <w:r>
        <w:rPr>
          <w:sz w:val="22"/>
          <w:szCs w:val="22"/>
        </w:rPr>
        <w:t xml:space="preserve">. </w:t>
      </w:r>
      <w:r w:rsidRPr="007E46E0">
        <w:rPr>
          <w:sz w:val="22"/>
          <w:szCs w:val="22"/>
        </w:rPr>
        <w:t>Начальная ценам</w:t>
      </w:r>
      <w:r>
        <w:rPr>
          <w:sz w:val="22"/>
          <w:szCs w:val="22"/>
        </w:rPr>
        <w:t xml:space="preserve"> </w:t>
      </w:r>
      <w:r w:rsidRPr="007E46E0">
        <w:rPr>
          <w:sz w:val="22"/>
          <w:szCs w:val="22"/>
        </w:rPr>
        <w:t xml:space="preserve">6 096 869,30 руб. В состав Лота №1 включено как залоговое, так и </w:t>
      </w:r>
      <w:r w:rsidRPr="007E46E0">
        <w:rPr>
          <w:sz w:val="22"/>
          <w:szCs w:val="22"/>
        </w:rPr>
        <w:t>не залоговое</w:t>
      </w:r>
      <w:r w:rsidRPr="007E46E0">
        <w:rPr>
          <w:sz w:val="22"/>
          <w:szCs w:val="22"/>
        </w:rPr>
        <w:t xml:space="preserve"> </w:t>
      </w:r>
      <w:proofErr w:type="gramStart"/>
      <w:r w:rsidRPr="007E46E0">
        <w:rPr>
          <w:sz w:val="22"/>
          <w:szCs w:val="22"/>
        </w:rPr>
        <w:t>имущество.</w:t>
      </w:r>
      <w:r w:rsidR="00ED5E6F" w:rsidRPr="001A023C">
        <w:rPr>
          <w:sz w:val="22"/>
          <w:szCs w:val="22"/>
        </w:rPr>
        <w:t>.</w:t>
      </w:r>
      <w:proofErr w:type="gramEnd"/>
      <w:r w:rsidR="00ED5E6F" w:rsidRPr="001A023C">
        <w:rPr>
          <w:sz w:val="22"/>
          <w:szCs w:val="22"/>
        </w:rPr>
        <w:t xml:space="preserve"> </w:t>
      </w:r>
      <w:r w:rsidR="008F437A" w:rsidRPr="001A023C">
        <w:rPr>
          <w:sz w:val="22"/>
          <w:szCs w:val="22"/>
        </w:rPr>
        <w:t xml:space="preserve"> </w:t>
      </w:r>
    </w:p>
    <w:bookmarkEnd w:id="0"/>
    <w:p w14:paraId="21AE86CC" w14:textId="091C3DE7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lastRenderedPageBreak/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0AF2147F" w14:textId="6C6B4FF8" w:rsidR="00F675FF" w:rsidRPr="00DB5936" w:rsidRDefault="00F675FF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Pr="00F675FF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 - физическим лицам возлагаются на этих претендентов.</w:t>
      </w:r>
    </w:p>
    <w:p w14:paraId="20FFCF72" w14:textId="35F49620" w:rsidR="00C6202C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3300D5D" w14:textId="7C52B8F2" w:rsidR="001A023C" w:rsidRPr="001A023C" w:rsidRDefault="001A023C" w:rsidP="00565B85">
      <w:pPr>
        <w:ind w:firstLine="851"/>
        <w:jc w:val="both"/>
        <w:rPr>
          <w:bCs/>
          <w:color w:val="auto"/>
          <w:sz w:val="22"/>
          <w:szCs w:val="22"/>
        </w:rPr>
      </w:pPr>
      <w:r w:rsidRPr="001A023C">
        <w:rPr>
          <w:bCs/>
          <w:color w:val="auto"/>
          <w:sz w:val="22"/>
          <w:szCs w:val="22"/>
        </w:rPr>
        <w:t>4.1. Расходы на совершение банковских операций по возврату задатков претендентам - физическим лицам возлагаются на этих претендентов</w:t>
      </w:r>
      <w:r>
        <w:rPr>
          <w:bCs/>
          <w:color w:val="auto"/>
          <w:sz w:val="22"/>
          <w:szCs w:val="22"/>
        </w:rPr>
        <w:t>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 xml:space="preserve">. счет №40702810832130002974 в Филиале «Санкт-Петербургский» АО «Альфа-Банк», г. </w:t>
            </w:r>
            <w:r w:rsidRPr="00DB5936">
              <w:rPr>
                <w:color w:val="auto"/>
                <w:sz w:val="22"/>
                <w:szCs w:val="22"/>
              </w:rPr>
              <w:lastRenderedPageBreak/>
              <w:t>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0F2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A023C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B7DD9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2A23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6F2830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4609A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6E0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675FF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D267-33C6-4417-A25A-85695025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8380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3</cp:revision>
  <dcterms:created xsi:type="dcterms:W3CDTF">2022-07-13T14:44:00Z</dcterms:created>
  <dcterms:modified xsi:type="dcterms:W3CDTF">2022-08-29T13:27:00Z</dcterms:modified>
</cp:coreProperties>
</file>