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3F4E7795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732354">
        <w:rPr>
          <w:b/>
          <w:bCs/>
          <w:color w:val="000000"/>
        </w:rPr>
        <w:t>1</w:t>
      </w:r>
      <w:r w:rsidR="00ED6CDE">
        <w:rPr>
          <w:b/>
          <w:bCs/>
          <w:color w:val="000000"/>
        </w:rPr>
        <w:t>1</w:t>
      </w:r>
      <w:r w:rsidRPr="002C7E92">
        <w:rPr>
          <w:b/>
          <w:bCs/>
          <w:color w:val="000000"/>
        </w:rPr>
        <w:t>»</w:t>
      </w:r>
      <w:r w:rsidR="004A370D">
        <w:rPr>
          <w:b/>
          <w:bCs/>
          <w:color w:val="000000"/>
        </w:rPr>
        <w:t xml:space="preserve"> </w:t>
      </w:r>
      <w:r w:rsidR="00732354">
        <w:rPr>
          <w:b/>
          <w:bCs/>
          <w:color w:val="000000"/>
        </w:rPr>
        <w:t>октябр</w:t>
      </w:r>
      <w:r w:rsidR="004A370D">
        <w:rPr>
          <w:b/>
          <w:bCs/>
          <w:color w:val="000000"/>
        </w:rPr>
        <w:t>я</w:t>
      </w:r>
      <w:r w:rsidRPr="002C7E92">
        <w:rPr>
          <w:b/>
          <w:bCs/>
          <w:color w:val="000000"/>
        </w:rPr>
        <w:t xml:space="preserve"> 202</w:t>
      </w:r>
      <w:r w:rsidR="00316A14" w:rsidRPr="002C7E92">
        <w:rPr>
          <w:b/>
          <w:bCs/>
          <w:color w:val="000000"/>
        </w:rPr>
        <w:t>2</w:t>
      </w:r>
      <w:r w:rsidRPr="002C7E92">
        <w:rPr>
          <w:b/>
          <w:bCs/>
          <w:color w:val="000000"/>
        </w:rPr>
        <w:t xml:space="preserve">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662B4998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ru</w:t>
        </w:r>
      </w:hyperlink>
    </w:p>
    <w:p w14:paraId="66C1C85C" w14:textId="77777777" w:rsidR="00F12867" w:rsidRPr="002C7E92" w:rsidRDefault="00F12867" w:rsidP="00F12867">
      <w:pPr>
        <w:jc w:val="center"/>
        <w:rPr>
          <w:b/>
          <w:bCs/>
        </w:rPr>
      </w:pPr>
    </w:p>
    <w:p w14:paraId="33304E69" w14:textId="77777777" w:rsidR="00F12867" w:rsidRPr="002C7E92" w:rsidRDefault="00F12867" w:rsidP="00F12867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2C7E92" w:rsidRDefault="00F12867" w:rsidP="00F12867">
      <w:pPr>
        <w:jc w:val="center"/>
        <w:rPr>
          <w:b/>
          <w:bCs/>
        </w:rPr>
      </w:pPr>
    </w:p>
    <w:p w14:paraId="3BDA7AE3" w14:textId="68E95800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 w:rsidR="00732354">
        <w:rPr>
          <w:bCs/>
        </w:rPr>
        <w:t>06</w:t>
      </w:r>
      <w:r w:rsidRPr="002C7E92">
        <w:rPr>
          <w:bCs/>
        </w:rPr>
        <w:t xml:space="preserve">» </w:t>
      </w:r>
      <w:r w:rsidR="00732354">
        <w:rPr>
          <w:bCs/>
        </w:rPr>
        <w:t>сентябр</w:t>
      </w:r>
      <w:r w:rsidR="00950F12">
        <w:rPr>
          <w:bCs/>
        </w:rPr>
        <w:t>я</w:t>
      </w:r>
      <w:r w:rsidRPr="002C7E92">
        <w:rPr>
          <w:bCs/>
        </w:rPr>
        <w:t xml:space="preserve"> 202</w:t>
      </w:r>
      <w:r w:rsidR="00316A14" w:rsidRPr="002C7E92">
        <w:rPr>
          <w:bCs/>
        </w:rPr>
        <w:t>2</w:t>
      </w:r>
      <w:r w:rsidRPr="002C7E92">
        <w:rPr>
          <w:bCs/>
        </w:rPr>
        <w:t xml:space="preserve"> г. с </w:t>
      </w:r>
      <w:r w:rsidR="007B3F35" w:rsidRPr="002C7E92">
        <w:rPr>
          <w:bCs/>
        </w:rPr>
        <w:t>09</w:t>
      </w:r>
      <w:r w:rsidRPr="002C7E92">
        <w:rPr>
          <w:bCs/>
        </w:rPr>
        <w:t xml:space="preserve">:00 </w:t>
      </w:r>
      <w:r w:rsidRPr="002C7E92">
        <w:rPr>
          <w:bCs/>
          <w:color w:val="000000"/>
        </w:rPr>
        <w:t>по «</w:t>
      </w:r>
      <w:r w:rsidR="00732354">
        <w:rPr>
          <w:bCs/>
          <w:color w:val="000000"/>
        </w:rPr>
        <w:t>10</w:t>
      </w:r>
      <w:r w:rsidRPr="002C7E92">
        <w:rPr>
          <w:bCs/>
          <w:color w:val="000000"/>
        </w:rPr>
        <w:t xml:space="preserve">» </w:t>
      </w:r>
      <w:r w:rsidR="00732354">
        <w:rPr>
          <w:bCs/>
          <w:color w:val="000000"/>
        </w:rPr>
        <w:t>октябр</w:t>
      </w:r>
      <w:r w:rsidR="00B3581D" w:rsidRPr="002C7E92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до 1</w:t>
      </w:r>
      <w:r w:rsidR="007B3F35" w:rsidRPr="002C7E92">
        <w:rPr>
          <w:bCs/>
          <w:color w:val="000000"/>
        </w:rPr>
        <w:t>5</w:t>
      </w:r>
      <w:r w:rsidRPr="002C7E92">
        <w:rPr>
          <w:bCs/>
          <w:color w:val="000000"/>
        </w:rPr>
        <w:t>:00.</w:t>
      </w:r>
    </w:p>
    <w:p w14:paraId="47A9346D" w14:textId="44E1EDE4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732354">
        <w:rPr>
          <w:bCs/>
          <w:color w:val="000000"/>
        </w:rPr>
        <w:t>07</w:t>
      </w:r>
      <w:r w:rsidRPr="002C7E92">
        <w:rPr>
          <w:bCs/>
          <w:color w:val="000000"/>
        </w:rPr>
        <w:t xml:space="preserve">» </w:t>
      </w:r>
      <w:r w:rsidR="00732354">
        <w:rPr>
          <w:bCs/>
          <w:color w:val="000000"/>
        </w:rPr>
        <w:t>октябр</w:t>
      </w:r>
      <w:r w:rsidR="00B3581D" w:rsidRPr="002C7E92">
        <w:rPr>
          <w:bCs/>
          <w:color w:val="000000"/>
        </w:rPr>
        <w:t>я</w:t>
      </w:r>
      <w:r w:rsidR="004148C5" w:rsidRPr="002C7E92">
        <w:rPr>
          <w:bCs/>
          <w:color w:val="000000"/>
        </w:rPr>
        <w:t xml:space="preserve"> </w:t>
      </w:r>
      <w:r w:rsidRPr="002C7E92">
        <w:rPr>
          <w:bCs/>
          <w:color w:val="000000"/>
        </w:rPr>
        <w:t>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</w:t>
      </w:r>
    </w:p>
    <w:p w14:paraId="414D0AE5" w14:textId="5815E7D6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732354">
        <w:rPr>
          <w:bCs/>
          <w:color w:val="000000"/>
        </w:rPr>
        <w:t>1</w:t>
      </w:r>
      <w:r w:rsidR="00ED6CDE">
        <w:rPr>
          <w:bCs/>
          <w:color w:val="000000"/>
        </w:rPr>
        <w:t>0</w:t>
      </w:r>
      <w:r w:rsidRPr="002C7E92">
        <w:rPr>
          <w:bCs/>
          <w:color w:val="000000"/>
        </w:rPr>
        <w:t>»</w:t>
      </w:r>
      <w:r w:rsidR="00732354">
        <w:rPr>
          <w:bCs/>
          <w:color w:val="000000"/>
        </w:rPr>
        <w:t xml:space="preserve"> октябр</w:t>
      </w:r>
      <w:r w:rsidR="00B3581D" w:rsidRPr="002C7E92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0C1842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в 1</w:t>
      </w:r>
      <w:r w:rsidR="0074076C" w:rsidRPr="002C7E92">
        <w:rPr>
          <w:bCs/>
          <w:color w:val="000000"/>
        </w:rPr>
        <w:t>7</w:t>
      </w:r>
      <w:r w:rsidR="00ED6CDE">
        <w:rPr>
          <w:bCs/>
          <w:color w:val="000000"/>
        </w:rPr>
        <w:t>:</w:t>
      </w:r>
      <w:r w:rsidRPr="002C7E92">
        <w:rPr>
          <w:bCs/>
          <w:color w:val="000000"/>
        </w:rPr>
        <w:t>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571D3234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</w:t>
      </w:r>
      <w:r w:rsidR="00732354">
        <w:t>ниж</w:t>
      </w:r>
      <w:r w:rsidRPr="002C7E92">
        <w:t>ения начальной цены («</w:t>
      </w:r>
      <w:r w:rsidR="00732354">
        <w:t>голланд</w:t>
      </w:r>
      <w:r w:rsidRPr="002C7E92">
        <w:t>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55C21417" w14:textId="15F5D82F" w:rsidR="00732354" w:rsidRDefault="00732354" w:rsidP="00F12867">
      <w:pPr>
        <w:ind w:firstLine="708"/>
        <w:jc w:val="both"/>
      </w:pPr>
      <w:r w:rsidRPr="00732354">
        <w:t xml:space="preserve">Имущество принадлежит на праве собственности </w:t>
      </w:r>
      <w:r>
        <w:t xml:space="preserve">юридическому лицу и </w:t>
      </w:r>
      <w:r w:rsidRPr="00732354">
        <w:t>физическо</w:t>
      </w:r>
      <w:r>
        <w:t>му</w:t>
      </w:r>
      <w:r w:rsidRPr="00732354">
        <w:t xml:space="preserve"> лиц</w:t>
      </w:r>
      <w:r>
        <w:t>у</w:t>
      </w:r>
      <w:r w:rsidRPr="00732354">
        <w:t xml:space="preserve">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445C7D8" w14:textId="77777777" w:rsidR="00245247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6177C0" w:rsidRPr="002C7E92">
        <w:rPr>
          <w:b/>
          <w:kern w:val="2"/>
        </w:rPr>
        <w:t xml:space="preserve">Сведения об </w:t>
      </w:r>
      <w:r w:rsidR="00B270A9" w:rsidRPr="002C7E92">
        <w:rPr>
          <w:b/>
          <w:kern w:val="2"/>
        </w:rPr>
        <w:t>о</w:t>
      </w:r>
      <w:r w:rsidR="006177C0" w:rsidRPr="002C7E92">
        <w:rPr>
          <w:b/>
          <w:kern w:val="2"/>
        </w:rPr>
        <w:t>бъект</w:t>
      </w:r>
      <w:r w:rsidR="004A370D">
        <w:rPr>
          <w:b/>
          <w:kern w:val="2"/>
        </w:rPr>
        <w:t>ах</w:t>
      </w:r>
      <w:r w:rsidR="006177C0" w:rsidRPr="002C7E92">
        <w:rPr>
          <w:b/>
          <w:kern w:val="2"/>
        </w:rPr>
        <w:t xml:space="preserve"> продажи</w:t>
      </w:r>
      <w:r w:rsidR="00B270A9" w:rsidRPr="002C7E92">
        <w:rPr>
          <w:b/>
          <w:kern w:val="2"/>
        </w:rPr>
        <w:t xml:space="preserve"> </w:t>
      </w:r>
      <w:r w:rsidR="00245247" w:rsidRPr="00245247">
        <w:rPr>
          <w:b/>
          <w:kern w:val="2"/>
        </w:rPr>
        <w:t>(единым лотом)</w:t>
      </w:r>
    </w:p>
    <w:p w14:paraId="333598E3" w14:textId="0CFF2BF3" w:rsidR="00D93F46" w:rsidRPr="002C7E92" w:rsidRDefault="00B270A9" w:rsidP="00B270A9">
      <w:pPr>
        <w:jc w:val="center"/>
        <w:rPr>
          <w:b/>
          <w:kern w:val="2"/>
        </w:rPr>
      </w:pPr>
      <w:r w:rsidRPr="002C7E92">
        <w:rPr>
          <w:b/>
          <w:kern w:val="2"/>
        </w:rPr>
        <w:t>(далее – Объект</w:t>
      </w:r>
      <w:r w:rsidR="004A370D">
        <w:rPr>
          <w:b/>
          <w:kern w:val="2"/>
        </w:rPr>
        <w:t>ы</w:t>
      </w:r>
      <w:r w:rsidRPr="002C7E92">
        <w:rPr>
          <w:b/>
          <w:kern w:val="2"/>
        </w:rPr>
        <w:t>)</w:t>
      </w:r>
      <w:r w:rsidR="006177C0" w:rsidRPr="002C7E92">
        <w:rPr>
          <w:b/>
          <w:kern w:val="2"/>
        </w:rPr>
        <w:t>:</w:t>
      </w:r>
    </w:p>
    <w:p w14:paraId="215BC727" w14:textId="77777777" w:rsidR="004A370D" w:rsidRDefault="004A370D" w:rsidP="004A370D">
      <w:pPr>
        <w:jc w:val="both"/>
      </w:pPr>
      <w:r>
        <w:t>- Земельный участок, площадь: 1099 кв. м, категория земель: земли населенных пунктов, виды разрешенного использования: общественное питание, кадастровый номер 63:01:0607007:1104,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область, г. Самара, Октябрьский район, ул. Ново-Садовая. 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 63:01:0000000:2287, 63:01:0000000:2323, 63:01:0000000:28445;</w:t>
      </w:r>
    </w:p>
    <w:p w14:paraId="3862D2F1" w14:textId="7C3433D8" w:rsidR="003A6E6E" w:rsidRDefault="004A370D" w:rsidP="004A370D">
      <w:pPr>
        <w:jc w:val="both"/>
      </w:pPr>
      <w:r>
        <w:t>- Нежилое здание, площадь: 64,2 кв. м, назначение: нежилое здание, количество этажей, в том числе подземных этажей: 1, кадастровый номер 63:01:0607007:229, расположенное по адресу: Самарская область, Октябрьский район, г. Самара, ул. Ново-Садовая, д.</w:t>
      </w:r>
      <w:r w:rsidR="00345B44">
        <w:t xml:space="preserve"> </w:t>
      </w:r>
      <w:r>
        <w:t>35.</w:t>
      </w:r>
    </w:p>
    <w:p w14:paraId="1E201591" w14:textId="77777777" w:rsidR="004A370D" w:rsidRDefault="004A370D" w:rsidP="004A370D">
      <w:pPr>
        <w:jc w:val="both"/>
      </w:pPr>
    </w:p>
    <w:p w14:paraId="635D11BC" w14:textId="347900F6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732354">
        <w:rPr>
          <w:b/>
          <w:bCs/>
          <w:lang w:eastAsia="en-US"/>
        </w:rPr>
        <w:t>35</w:t>
      </w:r>
      <w:r w:rsidR="008A3668" w:rsidRPr="002C7E92">
        <w:rPr>
          <w:b/>
        </w:rPr>
        <w:t> </w:t>
      </w:r>
      <w:r w:rsidR="00950F12">
        <w:rPr>
          <w:b/>
        </w:rPr>
        <w:t>0</w:t>
      </w:r>
      <w:r w:rsidR="008A3668" w:rsidRPr="002C7E92">
        <w:rPr>
          <w:b/>
        </w:rPr>
        <w:t>00 000</w:t>
      </w:r>
      <w:r w:rsidR="00316A14" w:rsidRPr="002C7E92">
        <w:rPr>
          <w:b/>
        </w:rPr>
        <w:t xml:space="preserve">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1CEAF401" w14:textId="4BD17579" w:rsidR="00732354" w:rsidRDefault="00732354" w:rsidP="00C866CD">
      <w:pPr>
        <w:jc w:val="center"/>
        <w:rPr>
          <w:b/>
        </w:rPr>
      </w:pPr>
      <w:r>
        <w:rPr>
          <w:b/>
        </w:rPr>
        <w:t>Миним</w:t>
      </w:r>
      <w:r w:rsidRPr="00732354">
        <w:rPr>
          <w:b/>
        </w:rPr>
        <w:t>альная цена Лота №1 – 2</w:t>
      </w:r>
      <w:r>
        <w:rPr>
          <w:b/>
        </w:rPr>
        <w:t>1</w:t>
      </w:r>
      <w:r w:rsidRPr="00732354">
        <w:rPr>
          <w:b/>
        </w:rPr>
        <w:t xml:space="preserve"> 000 000 руб. 00 коп., НДС не облагается.</w:t>
      </w:r>
    </w:p>
    <w:p w14:paraId="32A26942" w14:textId="41B3CDE3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732354">
        <w:rPr>
          <w:b/>
        </w:rPr>
        <w:t>3</w:t>
      </w:r>
      <w:r w:rsidR="00950F12">
        <w:rPr>
          <w:b/>
        </w:rPr>
        <w:t xml:space="preserve"> </w:t>
      </w:r>
      <w:r w:rsidR="00732354">
        <w:rPr>
          <w:b/>
        </w:rPr>
        <w:t>5</w:t>
      </w:r>
      <w:r w:rsidR="00950F12">
        <w:rPr>
          <w:b/>
        </w:rPr>
        <w:t>0</w:t>
      </w:r>
      <w:r w:rsidR="008A3668" w:rsidRPr="002C7E92">
        <w:rPr>
          <w:b/>
        </w:rPr>
        <w:t>0 000</w:t>
      </w:r>
      <w:r w:rsidR="00316A14" w:rsidRPr="002C7E92">
        <w:rPr>
          <w:b/>
        </w:rPr>
        <w:t xml:space="preserve"> </w:t>
      </w:r>
      <w:r w:rsidRPr="002C7E92">
        <w:rPr>
          <w:b/>
        </w:rPr>
        <w:t xml:space="preserve">руб. </w:t>
      </w:r>
    </w:p>
    <w:p w14:paraId="1BACDEFF" w14:textId="537F39AC" w:rsidR="00C866CD" w:rsidRDefault="00C866CD" w:rsidP="00732354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732354"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732354">
        <w:rPr>
          <w:rFonts w:eastAsiaTheme="minorHAnsi" w:cs="Times New Roman"/>
          <w:b/>
          <w:bCs/>
          <w:kern w:val="0"/>
          <w:lang w:eastAsia="en-US" w:bidi="ar-SA"/>
        </w:rPr>
        <w:t>1 4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198FDD89" w14:textId="77414F63" w:rsidR="00732354" w:rsidRPr="002C7E92" w:rsidRDefault="00732354" w:rsidP="00732354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>
        <w:rPr>
          <w:rFonts w:eastAsiaTheme="minorHAnsi" w:cs="Times New Roman"/>
          <w:b/>
          <w:bCs/>
          <w:kern w:val="0"/>
          <w:lang w:eastAsia="en-US" w:bidi="ar-SA"/>
        </w:rPr>
        <w:t>на по</w:t>
      </w:r>
      <w:r w:rsidR="009C262A">
        <w:rPr>
          <w:rFonts w:eastAsiaTheme="minorHAnsi" w:cs="Times New Roman"/>
          <w:b/>
          <w:bCs/>
          <w:kern w:val="0"/>
          <w:lang w:eastAsia="en-US" w:bidi="ar-SA"/>
        </w:rPr>
        <w:t>ниж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ение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>
        <w:rPr>
          <w:rFonts w:eastAsiaTheme="minorHAnsi" w:cs="Times New Roman"/>
          <w:b/>
          <w:bCs/>
          <w:kern w:val="0"/>
          <w:lang w:eastAsia="en-US" w:bidi="ar-SA"/>
        </w:rPr>
        <w:t>2 8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00 000 руб. </w:t>
      </w:r>
    </w:p>
    <w:p w14:paraId="5317EF58" w14:textId="77777777" w:rsidR="00732354" w:rsidRDefault="00732354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2F56BC54" w14:textId="41B4E091" w:rsidR="00006D76" w:rsidRPr="002C7E92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1CECD51D" w14:textId="77777777" w:rsidR="00DF6D37" w:rsidRDefault="00DF6D37" w:rsidP="003E0025">
      <w:pPr>
        <w:jc w:val="center"/>
        <w:rPr>
          <w:rFonts w:eastAsia="Times New Roman" w:cs="Times New Roman"/>
          <w:b/>
          <w:bCs/>
          <w:lang w:eastAsia="ru-RU"/>
        </w:rPr>
      </w:pPr>
    </w:p>
    <w:p w14:paraId="02DAAD25" w14:textId="1BBF820C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lastRenderedPageBreak/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46724A6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245247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</w:t>
      </w:r>
      <w:r w:rsidRPr="002C7E92">
        <w:rPr>
          <w:shd w:val="clear" w:color="auto" w:fill="FFFFFF"/>
        </w:rPr>
        <w:lastRenderedPageBreak/>
        <w:t>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 xml:space="preserve">хх).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 указанном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52632F0B" w:rsidR="00D93F46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1F750378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F62793">
        <w:rPr>
          <w:rFonts w:eastAsia="Times New Roman" w:cs="Times New Roman"/>
          <w:lang w:eastAsia="ru-RU"/>
        </w:rPr>
        <w:t>ниж</w:t>
      </w:r>
      <w:r w:rsidRPr="002C7E92">
        <w:rPr>
          <w:rFonts w:eastAsia="Times New Roman" w:cs="Times New Roman"/>
          <w:lang w:eastAsia="ru-RU"/>
        </w:rPr>
        <w:t>ение (</w:t>
      </w:r>
      <w:r w:rsidR="00F62793">
        <w:rPr>
          <w:rFonts w:eastAsia="Times New Roman" w:cs="Times New Roman"/>
          <w:lang w:eastAsia="ru-RU"/>
        </w:rPr>
        <w:t>голланд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1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41B7881F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245247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3"/>
    <w:p w14:paraId="042788CB" w14:textId="76A2232F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2452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2452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2C2B96C8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452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245247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4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227C4A6F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 xml:space="preserve">-  ни один из Участников торгов не сделал предложения по </w:t>
      </w:r>
      <w:r w:rsidR="00F62793">
        <w:rPr>
          <w:rFonts w:eastAsia="Times New Roman" w:cs="Times New Roman"/>
          <w:bCs/>
          <w:color w:val="000000"/>
          <w:lang w:eastAsia="ru-RU"/>
        </w:rPr>
        <w:t xml:space="preserve">минимальной </w:t>
      </w:r>
      <w:r w:rsidRPr="002C7E92">
        <w:rPr>
          <w:rFonts w:eastAsia="Times New Roman" w:cs="Times New Roman"/>
          <w:bCs/>
          <w:color w:val="000000"/>
          <w:lang w:eastAsia="ru-RU"/>
        </w:rPr>
        <w:t>цене.</w:t>
      </w:r>
    </w:p>
    <w:sectPr w:rsidR="00A503D5" w:rsidSect="00DF6D37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9C262A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18F8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4327E"/>
    <w:rsid w:val="0024384B"/>
    <w:rsid w:val="00245247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41D3"/>
    <w:rsid w:val="00316A14"/>
    <w:rsid w:val="003265AC"/>
    <w:rsid w:val="00326AC5"/>
    <w:rsid w:val="003306CD"/>
    <w:rsid w:val="0034116F"/>
    <w:rsid w:val="00345B44"/>
    <w:rsid w:val="003469C2"/>
    <w:rsid w:val="00346B6A"/>
    <w:rsid w:val="0036049D"/>
    <w:rsid w:val="00362359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370D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056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8677F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2354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262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878AE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DF6D37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D6CD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2793"/>
    <w:rsid w:val="00F64EA8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D7E35"/>
    <w:rsid w:val="00FE0153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8</cp:revision>
  <cp:lastPrinted>2021-05-24T13:27:00Z</cp:lastPrinted>
  <dcterms:created xsi:type="dcterms:W3CDTF">2022-09-05T10:59:00Z</dcterms:created>
  <dcterms:modified xsi:type="dcterms:W3CDTF">2022-09-05T11:13:00Z</dcterms:modified>
</cp:coreProperties>
</file>