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97687D">
            <w:pPr>
              <w:snapToGrid w:val="0"/>
              <w:jc w:val="right"/>
              <w:rPr>
                <w:rFonts w:ascii="Cambria" w:hAnsi="Cambria"/>
                <w:sz w:val="20"/>
                <w:szCs w:val="20"/>
              </w:rPr>
            </w:pPr>
            <w:r>
              <w:rPr>
                <w:rFonts w:ascii="Cambria" w:hAnsi="Cambria"/>
                <w:sz w:val="20"/>
                <w:szCs w:val="20"/>
              </w:rPr>
              <w:t>«   » _____________ 202</w:t>
            </w:r>
            <w:r w:rsidR="0097687D">
              <w:rPr>
                <w:rFonts w:ascii="Cambria" w:hAnsi="Cambria"/>
                <w:sz w:val="20"/>
                <w:szCs w:val="20"/>
              </w:rPr>
              <w:t>2</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97687D" w:rsidRDefault="0097687D" w:rsidP="008E0C00">
      <w:pPr>
        <w:pStyle w:val="a9"/>
        <w:ind w:firstLine="567"/>
        <w:jc w:val="both"/>
        <w:rPr>
          <w:rFonts w:ascii="Cambria" w:hAnsi="Cambria"/>
        </w:rPr>
      </w:pPr>
      <w:r w:rsidRPr="00AB6E91">
        <w:rPr>
          <w:rFonts w:ascii="Cambria" w:hAnsi="Cambria"/>
          <w:bCs/>
        </w:rPr>
        <w:t xml:space="preserve">лот №1 - </w:t>
      </w:r>
      <w:r w:rsidRPr="00AB6E91">
        <w:rPr>
          <w:rFonts w:ascii="Cambria" w:hAnsi="Cambria"/>
        </w:rPr>
        <w:t xml:space="preserve">ООО «ЭКО-ПАРКЕТ» (ИНН 0105074120, ОГРН 1150105000561) 12 526 136,67руб. – начальная цена </w:t>
      </w:r>
      <w:r w:rsidR="00256EA8">
        <w:rPr>
          <w:rFonts w:ascii="Cambria" w:hAnsi="Cambria"/>
        </w:rPr>
        <w:t>11 273 523,00</w:t>
      </w:r>
      <w:r w:rsidRPr="00AB6E91">
        <w:rPr>
          <w:rFonts w:ascii="Cambria" w:hAnsi="Cambria"/>
        </w:rPr>
        <w:t xml:space="preserve">руб.; </w:t>
      </w:r>
    </w:p>
    <w:p w:rsidR="00E215E3" w:rsidRPr="00462099" w:rsidRDefault="0097687D" w:rsidP="008E0C00">
      <w:pPr>
        <w:pStyle w:val="a9"/>
        <w:ind w:firstLine="567"/>
        <w:jc w:val="both"/>
        <w:rPr>
          <w:rFonts w:ascii="Cambria" w:hAnsi="Cambria"/>
          <w:sz w:val="20"/>
          <w:szCs w:val="20"/>
        </w:rPr>
      </w:pPr>
      <w:r w:rsidRPr="00AB6E91">
        <w:rPr>
          <w:rFonts w:ascii="Cambria" w:hAnsi="Cambria"/>
        </w:rPr>
        <w:t xml:space="preserve">лот №2 - ИП Шутова Диана Алексеевна (ИНН 010101598425, ОГРНИП 319010500020260) 1 211 492,60руб. – начальная цена </w:t>
      </w:r>
      <w:r w:rsidR="00256EA8">
        <w:rPr>
          <w:rFonts w:ascii="Cambria" w:hAnsi="Cambria"/>
        </w:rPr>
        <w:t>1 090 343,34</w:t>
      </w:r>
      <w:r w:rsidRPr="00AB6E91">
        <w:rPr>
          <w:rFonts w:ascii="Cambria" w:hAnsi="Cambria"/>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97687D">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C93A18">
        <w:rPr>
          <w:rStyle w:val="paragraph"/>
          <w:rFonts w:ascii="Cambria" w:hAnsi="Cambria"/>
          <w:sz w:val="20"/>
          <w:szCs w:val="20"/>
        </w:rPr>
        <w:t>14.11</w:t>
      </w:r>
      <w:bookmarkStart w:id="0" w:name="_GoBack"/>
      <w:bookmarkEnd w:id="0"/>
      <w:r w:rsidR="0097687D">
        <w:rPr>
          <w:rStyle w:val="paragraph"/>
          <w:rFonts w:ascii="Cambria" w:hAnsi="Cambria"/>
          <w:sz w:val="20"/>
          <w:szCs w:val="20"/>
        </w:rPr>
        <w:t>.2022</w:t>
      </w:r>
      <w:r w:rsidR="004C6095" w:rsidRPr="004C6095">
        <w:rPr>
          <w:rStyle w:val="paragraph"/>
          <w:rFonts w:ascii="Cambria" w:hAnsi="Cambria"/>
          <w:sz w:val="20"/>
          <w:szCs w:val="20"/>
        </w:rPr>
        <w:t>г. 23-45</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56EA8"/>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85BD7"/>
    <w:rsid w:val="00BA4A4D"/>
    <w:rsid w:val="00BD6B91"/>
    <w:rsid w:val="00C93A18"/>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E3555C"/>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F421-72C0-45B6-8ABC-6193881E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26</cp:revision>
  <cp:lastPrinted>2010-09-29T15:55:00Z</cp:lastPrinted>
  <dcterms:created xsi:type="dcterms:W3CDTF">2015-07-14T07:06:00Z</dcterms:created>
  <dcterms:modified xsi:type="dcterms:W3CDTF">2022-09-28T13:34:00Z</dcterms:modified>
</cp:coreProperties>
</file>