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8064DC">
      <w:pPr>
        <w:spacing w:after="0" w:line="282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8064DC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3FB6244E" w14:textId="4AE25954" w:rsidR="00F90807" w:rsidRDefault="00B1256D" w:rsidP="008064DC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7A5959">
        <w:rPr>
          <w:b/>
        </w:rPr>
        <w:t>07</w:t>
      </w:r>
      <w:r w:rsidR="00CF00FF">
        <w:rPr>
          <w:b/>
        </w:rPr>
        <w:t xml:space="preserve"> </w:t>
      </w:r>
      <w:r w:rsidR="006F3A06">
        <w:rPr>
          <w:b/>
        </w:rPr>
        <w:t>ноября</w:t>
      </w:r>
      <w:r w:rsidR="00CF00FF">
        <w:rPr>
          <w:b/>
        </w:rPr>
        <w:t xml:space="preserve"> </w:t>
      </w:r>
      <w:r w:rsidR="005C5D51">
        <w:rPr>
          <w:b/>
        </w:rPr>
        <w:t>202</w:t>
      </w:r>
      <w:r w:rsidR="00CF00FF">
        <w:rPr>
          <w:b/>
        </w:rPr>
        <w:t>2</w:t>
      </w:r>
      <w:r>
        <w:rPr>
          <w:b/>
        </w:rPr>
        <w:t xml:space="preserve"> г. с 1</w:t>
      </w:r>
      <w:r w:rsidR="006F3A06">
        <w:rPr>
          <w:b/>
        </w:rPr>
        <w:t>0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8064DC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8064DC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8064DC">
      <w:pPr>
        <w:tabs>
          <w:tab w:val="left" w:pos="10065"/>
        </w:tabs>
        <w:spacing w:after="8"/>
        <w:ind w:left="183" w:right="60" w:firstLine="0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62B3E27B" w:rsidR="00F90807" w:rsidRDefault="00B1256D" w:rsidP="008064DC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7A5959">
        <w:rPr>
          <w:b/>
        </w:rPr>
        <w:t>3</w:t>
      </w:r>
      <w:r w:rsidR="00CF00FF">
        <w:rPr>
          <w:b/>
        </w:rPr>
        <w:t xml:space="preserve"> </w:t>
      </w:r>
      <w:r w:rsidR="007A5959">
        <w:rPr>
          <w:b/>
        </w:rPr>
        <w:t>октя</w:t>
      </w:r>
      <w:r w:rsidR="00906DD9">
        <w:rPr>
          <w:b/>
        </w:rPr>
        <w:t>бря</w:t>
      </w:r>
      <w:r w:rsidR="00CF00FF">
        <w:rPr>
          <w:b/>
        </w:rPr>
        <w:t xml:space="preserve"> </w:t>
      </w:r>
      <w:r w:rsidR="00445CC8">
        <w:rPr>
          <w:b/>
        </w:rPr>
        <w:t>202</w:t>
      </w:r>
      <w:r w:rsidR="00906DD9">
        <w:rPr>
          <w:b/>
        </w:rPr>
        <w:t>2</w:t>
      </w:r>
      <w:r w:rsidR="00445CC8">
        <w:rPr>
          <w:b/>
        </w:rPr>
        <w:t xml:space="preserve"> г. по </w:t>
      </w:r>
      <w:r w:rsidR="007A5959">
        <w:rPr>
          <w:b/>
        </w:rPr>
        <w:t>3</w:t>
      </w:r>
      <w:r w:rsidR="00CF00FF">
        <w:rPr>
          <w:b/>
        </w:rPr>
        <w:t xml:space="preserve"> </w:t>
      </w:r>
      <w:r w:rsidR="007A5959">
        <w:rPr>
          <w:b/>
        </w:rPr>
        <w:t>но</w:t>
      </w:r>
      <w:r w:rsidR="00CF00FF">
        <w:rPr>
          <w:b/>
        </w:rPr>
        <w:t xml:space="preserve">ября </w:t>
      </w:r>
      <w:r>
        <w:rPr>
          <w:b/>
        </w:rPr>
        <w:t>202</w:t>
      </w:r>
      <w:r w:rsidR="00CF00FF">
        <w:rPr>
          <w:b/>
        </w:rPr>
        <w:t xml:space="preserve">2 </w:t>
      </w:r>
      <w:r>
        <w:rPr>
          <w:b/>
        </w:rPr>
        <w:t xml:space="preserve">г. до </w:t>
      </w:r>
      <w:r w:rsidR="00CF00FF">
        <w:rPr>
          <w:b/>
        </w:rPr>
        <w:t>1</w:t>
      </w:r>
      <w:r w:rsidR="006F3A06">
        <w:rPr>
          <w:b/>
        </w:rPr>
        <w:t>8</w:t>
      </w:r>
      <w:r w:rsidR="00CF00FF">
        <w:rPr>
          <w:b/>
        </w:rPr>
        <w:t>:</w:t>
      </w:r>
      <w:r w:rsidR="003C5080">
        <w:rPr>
          <w:b/>
        </w:rPr>
        <w:t>00</w:t>
      </w:r>
      <w:r>
        <w:rPr>
          <w:b/>
        </w:rPr>
        <w:t xml:space="preserve">:00 </w:t>
      </w:r>
    </w:p>
    <w:p w14:paraId="68B6A0FA" w14:textId="77777777" w:rsidR="00F90807" w:rsidRDefault="00B1256D" w:rsidP="008064DC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8064DC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64CA3BC6" w14:textId="1D13D856" w:rsidR="00982002" w:rsidRDefault="00B1256D" w:rsidP="008064DC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7A5959">
        <w:rPr>
          <w:b/>
        </w:rPr>
        <w:t>3</w:t>
      </w:r>
      <w:r w:rsidR="00CF00FF">
        <w:rPr>
          <w:b/>
        </w:rPr>
        <w:t xml:space="preserve"> </w:t>
      </w:r>
      <w:r w:rsidR="007A5959">
        <w:rPr>
          <w:b/>
        </w:rPr>
        <w:t>но</w:t>
      </w:r>
      <w:r w:rsidR="00CF00FF">
        <w:rPr>
          <w:b/>
        </w:rPr>
        <w:t xml:space="preserve">ября </w:t>
      </w:r>
      <w:r>
        <w:rPr>
          <w:b/>
        </w:rPr>
        <w:t>202</w:t>
      </w:r>
      <w:r w:rsidR="00CF00FF">
        <w:rPr>
          <w:b/>
        </w:rPr>
        <w:t xml:space="preserve">2 </w:t>
      </w:r>
      <w:r>
        <w:rPr>
          <w:b/>
        </w:rPr>
        <w:t xml:space="preserve">г. </w:t>
      </w:r>
      <w:r w:rsidR="00CF00FF">
        <w:rPr>
          <w:b/>
        </w:rPr>
        <w:t>1</w:t>
      </w:r>
      <w:r w:rsidR="006F3A06">
        <w:rPr>
          <w:b/>
        </w:rPr>
        <w:t>8</w:t>
      </w:r>
      <w:r w:rsidR="00CF00FF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Определение участников электронного аукциона состоится </w:t>
      </w:r>
      <w:r w:rsidR="007A5959">
        <w:rPr>
          <w:b/>
        </w:rPr>
        <w:t>4</w:t>
      </w:r>
      <w:r w:rsidR="00CF00FF">
        <w:rPr>
          <w:b/>
        </w:rPr>
        <w:t xml:space="preserve"> </w:t>
      </w:r>
      <w:r w:rsidR="007A5959">
        <w:rPr>
          <w:b/>
        </w:rPr>
        <w:t>ноября</w:t>
      </w:r>
      <w:r w:rsidR="00CF00FF">
        <w:rPr>
          <w:b/>
        </w:rPr>
        <w:t xml:space="preserve"> </w:t>
      </w:r>
      <w:r>
        <w:rPr>
          <w:b/>
        </w:rPr>
        <w:t>202</w:t>
      </w:r>
      <w:r w:rsidR="00CF00FF">
        <w:rPr>
          <w:b/>
        </w:rPr>
        <w:t>2</w:t>
      </w:r>
      <w:r w:rsidR="00E7338D">
        <w:rPr>
          <w:b/>
        </w:rPr>
        <w:t xml:space="preserve"> г. в </w:t>
      </w:r>
      <w:r w:rsidR="00CF00FF">
        <w:rPr>
          <w:b/>
        </w:rPr>
        <w:t>1</w:t>
      </w:r>
      <w:r w:rsidR="007A5959">
        <w:rPr>
          <w:b/>
        </w:rPr>
        <w:t>0</w:t>
      </w:r>
      <w:r w:rsidR="00CF00FF">
        <w:rPr>
          <w:b/>
        </w:rPr>
        <w:t>:</w:t>
      </w:r>
      <w:r>
        <w:rPr>
          <w:b/>
        </w:rPr>
        <w:t xml:space="preserve">00. </w:t>
      </w:r>
    </w:p>
    <w:p w14:paraId="3D640421" w14:textId="77777777" w:rsidR="00982002" w:rsidRDefault="00B1256D" w:rsidP="008064DC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40FF40BA" w14:textId="77777777" w:rsidR="00982002" w:rsidRDefault="00B1256D" w:rsidP="008064DC">
      <w:pPr>
        <w:spacing w:after="33" w:line="249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1B62F823" w14:textId="77777777" w:rsidR="00982002" w:rsidRDefault="00B1256D" w:rsidP="008064DC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3ED62504" w14:textId="77777777" w:rsidR="00982002" w:rsidRDefault="00B1256D" w:rsidP="008064DC">
      <w:pPr>
        <w:spacing w:after="33" w:line="249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8064DC">
      <w:pPr>
        <w:spacing w:after="10" w:line="249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8064DC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7A1B185F" w14:textId="77777777" w:rsidR="006F3A06" w:rsidRPr="000B4275" w:rsidRDefault="006F3A06" w:rsidP="006F3A06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       </w:t>
      </w:r>
      <w:r w:rsidRPr="000B4275">
        <w:rPr>
          <w:b/>
          <w:szCs w:val="24"/>
        </w:rPr>
        <w:t xml:space="preserve">Объект продажи (Объект, лот): </w:t>
      </w:r>
      <w:r w:rsidRPr="000B4275">
        <w:rPr>
          <w:color w:val="auto"/>
          <w:szCs w:val="24"/>
        </w:rPr>
        <w:tab/>
      </w:r>
    </w:p>
    <w:p w14:paraId="223B995B" w14:textId="00B7C82C" w:rsidR="003D3AEA" w:rsidRDefault="00AB78C5" w:rsidP="006F3A06">
      <w:pPr>
        <w:pStyle w:val="a3"/>
        <w:ind w:left="360" w:right="60" w:firstLine="0"/>
        <w:rPr>
          <w:color w:val="auto"/>
          <w:szCs w:val="24"/>
        </w:rPr>
      </w:pPr>
      <w:r w:rsidRPr="00AB78C5">
        <w:rPr>
          <w:color w:val="auto"/>
          <w:szCs w:val="24"/>
        </w:rPr>
        <w:t>Нежилое помещение, кадастровый номер 78:11:0600501:2353, общей площадью 538.6 кв. м, расположенное по адресу: г.Санкт-Петербург, Новочеркасский проспект, дом 29/10, литера А, помещение 8-Н</w:t>
      </w:r>
      <w:r w:rsidR="003D3AEA" w:rsidRPr="003D3AEA">
        <w:rPr>
          <w:color w:val="auto"/>
          <w:szCs w:val="24"/>
        </w:rPr>
        <w:t>.</w:t>
      </w:r>
    </w:p>
    <w:p w14:paraId="201D8899" w14:textId="6377084E" w:rsidR="006F3A06" w:rsidRDefault="006F3A06" w:rsidP="006F3A06">
      <w:pPr>
        <w:pStyle w:val="a3"/>
        <w:ind w:left="360" w:right="60" w:firstLine="0"/>
        <w:rPr>
          <w:bCs/>
          <w:szCs w:val="24"/>
        </w:rPr>
      </w:pPr>
      <w:r>
        <w:rPr>
          <w:bCs/>
          <w:szCs w:val="24"/>
        </w:rPr>
        <w:t xml:space="preserve">  </w:t>
      </w:r>
      <w:r w:rsidRPr="00DF6853">
        <w:rPr>
          <w:bCs/>
          <w:szCs w:val="24"/>
        </w:rPr>
        <w:t>Ограничения (обременения): не зарегистрированы</w:t>
      </w:r>
      <w:r>
        <w:rPr>
          <w:bCs/>
          <w:szCs w:val="24"/>
        </w:rPr>
        <w:t>.</w:t>
      </w:r>
    </w:p>
    <w:p w14:paraId="280E22E9" w14:textId="77777777" w:rsidR="006F3A06" w:rsidRPr="000B4275" w:rsidRDefault="006F3A06" w:rsidP="006F3A06">
      <w:pPr>
        <w:pStyle w:val="a3"/>
        <w:ind w:left="360" w:right="60" w:firstLine="0"/>
        <w:rPr>
          <w:szCs w:val="24"/>
        </w:rPr>
      </w:pPr>
    </w:p>
    <w:p w14:paraId="415E0981" w14:textId="3A74DF4B" w:rsidR="006F3A06" w:rsidRPr="000B4275" w:rsidRDefault="006F3A06" w:rsidP="006F3A06">
      <w:pPr>
        <w:spacing w:line="270" w:lineRule="auto"/>
        <w:ind w:left="-15" w:right="60" w:firstLine="375"/>
        <w:jc w:val="center"/>
        <w:rPr>
          <w:szCs w:val="24"/>
        </w:rPr>
      </w:pPr>
      <w:r w:rsidRPr="000B4275">
        <w:rPr>
          <w:b/>
          <w:szCs w:val="24"/>
        </w:rPr>
        <w:t xml:space="preserve">Начальная цена лота устанавливается в размере </w:t>
      </w:r>
      <w:r w:rsidR="00ED2FD8">
        <w:rPr>
          <w:b/>
          <w:szCs w:val="24"/>
        </w:rPr>
        <w:t>2</w:t>
      </w:r>
      <w:r w:rsidR="007A5959">
        <w:rPr>
          <w:b/>
          <w:szCs w:val="24"/>
        </w:rPr>
        <w:t>7</w:t>
      </w:r>
      <w:r w:rsidR="000C2C54">
        <w:rPr>
          <w:b/>
          <w:szCs w:val="24"/>
        </w:rPr>
        <w:t> </w:t>
      </w:r>
      <w:r w:rsidR="007A5959">
        <w:rPr>
          <w:b/>
          <w:szCs w:val="24"/>
        </w:rPr>
        <w:t>8</w:t>
      </w:r>
      <w:r w:rsidR="003D3AEA">
        <w:rPr>
          <w:b/>
          <w:szCs w:val="24"/>
        </w:rPr>
        <w:t>0</w:t>
      </w:r>
      <w:r w:rsidR="000C2C54">
        <w:rPr>
          <w:b/>
          <w:szCs w:val="24"/>
        </w:rPr>
        <w:t>0 000</w:t>
      </w:r>
      <w:r w:rsidRPr="000B4275">
        <w:rPr>
          <w:b/>
          <w:szCs w:val="24"/>
        </w:rPr>
        <w:t xml:space="preserve"> (</w:t>
      </w:r>
      <w:r w:rsidR="00ED2FD8">
        <w:rPr>
          <w:b/>
          <w:szCs w:val="24"/>
        </w:rPr>
        <w:t xml:space="preserve">двадцать </w:t>
      </w:r>
      <w:r w:rsidR="007A5959">
        <w:rPr>
          <w:b/>
          <w:szCs w:val="24"/>
        </w:rPr>
        <w:t>семь миллионов</w:t>
      </w:r>
      <w:r w:rsidR="000C2C54">
        <w:rPr>
          <w:b/>
          <w:szCs w:val="24"/>
        </w:rPr>
        <w:t xml:space="preserve"> </w:t>
      </w:r>
      <w:r w:rsidR="007A5959">
        <w:rPr>
          <w:b/>
          <w:szCs w:val="24"/>
        </w:rPr>
        <w:t>восем</w:t>
      </w:r>
      <w:r w:rsidR="003D3AEA">
        <w:rPr>
          <w:b/>
          <w:szCs w:val="24"/>
        </w:rPr>
        <w:t>ьсот</w:t>
      </w:r>
      <w:r w:rsidR="000C2C54">
        <w:rPr>
          <w:b/>
          <w:szCs w:val="24"/>
        </w:rPr>
        <w:t xml:space="preserve"> тысяч</w:t>
      </w:r>
      <w:r w:rsidRPr="000B4275">
        <w:rPr>
          <w:b/>
          <w:szCs w:val="24"/>
        </w:rPr>
        <w:t>) рублей, НДС не облагается;</w:t>
      </w:r>
    </w:p>
    <w:p w14:paraId="4F9F70EE" w14:textId="7594F2AE" w:rsidR="006F3A06" w:rsidRPr="000B4275" w:rsidRDefault="006F3A06" w:rsidP="006F3A06">
      <w:pPr>
        <w:spacing w:after="21" w:line="259" w:lineRule="auto"/>
        <w:ind w:left="0" w:right="60" w:firstLine="360"/>
        <w:jc w:val="center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ED2FD8">
        <w:rPr>
          <w:b/>
          <w:szCs w:val="24"/>
        </w:rPr>
        <w:t>2</w:t>
      </w:r>
      <w:r>
        <w:rPr>
          <w:b/>
          <w:szCs w:val="24"/>
        </w:rPr>
        <w:t xml:space="preserve"> </w:t>
      </w:r>
      <w:r w:rsidRPr="000B4275">
        <w:rPr>
          <w:b/>
          <w:szCs w:val="24"/>
        </w:rPr>
        <w:t>000 000 (</w:t>
      </w:r>
      <w:r w:rsidR="00ED2FD8">
        <w:rPr>
          <w:b/>
          <w:szCs w:val="24"/>
        </w:rPr>
        <w:t>два</w:t>
      </w:r>
      <w:r>
        <w:rPr>
          <w:b/>
          <w:szCs w:val="24"/>
        </w:rPr>
        <w:t xml:space="preserve"> миллион</w:t>
      </w:r>
      <w:r w:rsidR="00ED2FD8">
        <w:rPr>
          <w:b/>
          <w:szCs w:val="24"/>
        </w:rPr>
        <w:t>а)</w:t>
      </w:r>
      <w:r w:rsidRPr="000B4275">
        <w:rPr>
          <w:b/>
          <w:szCs w:val="24"/>
        </w:rPr>
        <w:t xml:space="preserve"> рублей.</w:t>
      </w:r>
    </w:p>
    <w:p w14:paraId="32BC36D9" w14:textId="77777777" w:rsidR="006F3A06" w:rsidRPr="000B4275" w:rsidRDefault="006F3A06" w:rsidP="006F3A06">
      <w:pPr>
        <w:ind w:left="0" w:right="60" w:firstLine="360"/>
        <w:jc w:val="center"/>
        <w:rPr>
          <w:szCs w:val="24"/>
        </w:rPr>
      </w:pPr>
      <w:r w:rsidRPr="000B4275">
        <w:rPr>
          <w:b/>
          <w:szCs w:val="24"/>
        </w:rPr>
        <w:t>Шаг аукциона –</w:t>
      </w:r>
      <w:r>
        <w:rPr>
          <w:b/>
          <w:szCs w:val="24"/>
        </w:rPr>
        <w:t>25</w:t>
      </w:r>
      <w:r w:rsidRPr="000B4275">
        <w:rPr>
          <w:b/>
          <w:szCs w:val="24"/>
        </w:rPr>
        <w:t>0 000 (</w:t>
      </w:r>
      <w:r>
        <w:rPr>
          <w:b/>
          <w:szCs w:val="24"/>
        </w:rPr>
        <w:t>Двести пятьдесят</w:t>
      </w:r>
      <w:r w:rsidRPr="000B4275">
        <w:rPr>
          <w:b/>
          <w:szCs w:val="24"/>
        </w:rPr>
        <w:t xml:space="preserve"> тысяч) рублей.</w:t>
      </w:r>
    </w:p>
    <w:p w14:paraId="7990FB3F" w14:textId="77777777" w:rsidR="006F3A06" w:rsidRDefault="006F3A06" w:rsidP="006F3A06">
      <w:pPr>
        <w:spacing w:after="26" w:line="259" w:lineRule="auto"/>
        <w:ind w:left="540" w:right="60" w:firstLine="0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4A03869D" w14:textId="77777777" w:rsidR="006F3A06" w:rsidRPr="000B4275" w:rsidRDefault="006F3A06" w:rsidP="006F3A06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2A2CD450" w14:textId="77777777" w:rsidR="00982002" w:rsidRDefault="00B1256D" w:rsidP="008064DC">
      <w:pPr>
        <w:spacing w:after="26" w:line="259" w:lineRule="auto"/>
        <w:ind w:left="540" w:right="60" w:firstLine="0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14D9DAC1" w14:textId="77777777" w:rsidR="00B50DB3" w:rsidRPr="000B4275" w:rsidRDefault="00B50DB3" w:rsidP="008064DC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04A9E1DA" w14:textId="77777777" w:rsidR="00982002" w:rsidRPr="000B4275" w:rsidRDefault="00B1256D" w:rsidP="008064DC">
      <w:pPr>
        <w:spacing w:after="8"/>
        <w:ind w:left="183" w:right="60" w:firstLine="0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35B624FE" w:rsidR="00982002" w:rsidRPr="000B4275" w:rsidRDefault="00B1256D" w:rsidP="008064DC">
      <w:pPr>
        <w:ind w:left="-15" w:right="60" w:firstLine="0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8064DC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060A722C" w:rsidR="00982002" w:rsidRPr="000B4275" w:rsidRDefault="00B1256D" w:rsidP="00906DD9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lastRenderedPageBreak/>
        <w:t xml:space="preserve">  </w:t>
      </w:r>
    </w:p>
    <w:p w14:paraId="72ECC684" w14:textId="77777777" w:rsidR="00982002" w:rsidRPr="000B4275" w:rsidRDefault="00B1256D" w:rsidP="008064DC">
      <w:pPr>
        <w:spacing w:after="8"/>
        <w:ind w:left="669" w:right="60" w:firstLine="0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8064DC">
      <w:pPr>
        <w:ind w:left="-15" w:right="60" w:firstLine="0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8064DC">
      <w:pPr>
        <w:spacing w:after="26" w:line="259" w:lineRule="auto"/>
        <w:ind w:left="720" w:right="60" w:firstLine="0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8064DC">
      <w:pPr>
        <w:spacing w:line="270" w:lineRule="auto"/>
        <w:ind w:left="718" w:right="60" w:firstLine="0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8064DC">
      <w:pPr>
        <w:numPr>
          <w:ilvl w:val="0"/>
          <w:numId w:val="1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8064DC">
      <w:pPr>
        <w:numPr>
          <w:ilvl w:val="0"/>
          <w:numId w:val="1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8064DC">
      <w:pPr>
        <w:numPr>
          <w:ilvl w:val="1"/>
          <w:numId w:val="1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8064DC">
      <w:pPr>
        <w:numPr>
          <w:ilvl w:val="1"/>
          <w:numId w:val="1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lastRenderedPageBreak/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8064DC">
      <w:pPr>
        <w:ind w:left="708" w:right="60" w:firstLine="0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C293F79" w14:textId="77777777" w:rsidR="00C706BC" w:rsidRPr="001F7538" w:rsidRDefault="00C706BC" w:rsidP="00C706BC">
      <w:pPr>
        <w:ind w:left="0" w:firstLine="0"/>
        <w:rPr>
          <w:b/>
          <w:sz w:val="22"/>
          <w:szCs w:val="24"/>
        </w:rPr>
      </w:pPr>
      <w:r w:rsidRPr="001F7538">
        <w:rPr>
          <w:b/>
          <w:sz w:val="22"/>
          <w:szCs w:val="24"/>
        </w:rPr>
        <w:t>р/с № 40702810355000036459 в СЕВЕРО-ЗАПАДНЫЙ БАНК ПАО СБЕРБАНК,</w:t>
      </w:r>
    </w:p>
    <w:p w14:paraId="5574F07A" w14:textId="77777777" w:rsidR="00C706BC" w:rsidRPr="005627F2" w:rsidRDefault="00C706BC" w:rsidP="00C706BC">
      <w:pPr>
        <w:ind w:left="0" w:firstLine="0"/>
        <w:rPr>
          <w:b/>
          <w:sz w:val="22"/>
          <w:shd w:val="clear" w:color="auto" w:fill="FFFFFF"/>
        </w:rPr>
      </w:pPr>
      <w:r w:rsidRPr="001F7538">
        <w:rPr>
          <w:b/>
          <w:sz w:val="22"/>
          <w:szCs w:val="24"/>
        </w:rPr>
        <w:t>БИК 044030653, к/с 30101810500000000653</w:t>
      </w:r>
      <w:r w:rsidRPr="001F7538">
        <w:rPr>
          <w:b/>
          <w:sz w:val="22"/>
          <w:shd w:val="clear" w:color="auto" w:fill="FFFFFF"/>
        </w:rPr>
        <w:t>.</w:t>
      </w:r>
    </w:p>
    <w:p w14:paraId="2EDDDBEF" w14:textId="24D463DD" w:rsidR="00982002" w:rsidRPr="000B4275" w:rsidRDefault="00982002" w:rsidP="00C706BC">
      <w:pPr>
        <w:spacing w:line="270" w:lineRule="auto"/>
        <w:ind w:left="0" w:right="60" w:firstLine="0"/>
        <w:rPr>
          <w:szCs w:val="24"/>
        </w:rPr>
      </w:pPr>
    </w:p>
    <w:p w14:paraId="104B1FE4" w14:textId="4D765D04" w:rsidR="00982002" w:rsidRPr="000B4275" w:rsidRDefault="00B1256D" w:rsidP="008064DC">
      <w:pPr>
        <w:spacing w:line="270" w:lineRule="auto"/>
        <w:ind w:left="718" w:right="60" w:firstLine="0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6F3A06">
        <w:rPr>
          <w:b/>
          <w:szCs w:val="24"/>
        </w:rPr>
        <w:t>3</w:t>
      </w:r>
      <w:r w:rsidR="006948EB">
        <w:rPr>
          <w:b/>
          <w:szCs w:val="24"/>
        </w:rPr>
        <w:t xml:space="preserve"> </w:t>
      </w:r>
      <w:r w:rsidR="007A5959">
        <w:rPr>
          <w:b/>
          <w:szCs w:val="24"/>
        </w:rPr>
        <w:t>н</w:t>
      </w:r>
      <w:r w:rsidR="006948EB">
        <w:rPr>
          <w:b/>
          <w:szCs w:val="24"/>
        </w:rPr>
        <w:t>о</w:t>
      </w:r>
      <w:r w:rsidR="007A5959">
        <w:rPr>
          <w:b/>
          <w:szCs w:val="24"/>
        </w:rPr>
        <w:t>я</w:t>
      </w:r>
      <w:bookmarkStart w:id="0" w:name="_GoBack"/>
      <w:bookmarkEnd w:id="0"/>
      <w:r w:rsidR="006948EB">
        <w:rPr>
          <w:b/>
          <w:szCs w:val="24"/>
        </w:rPr>
        <w:t>бря</w:t>
      </w:r>
      <w:r w:rsidR="006948EB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>202</w:t>
      </w:r>
      <w:r w:rsidR="006948EB">
        <w:rPr>
          <w:b/>
          <w:szCs w:val="24"/>
        </w:rPr>
        <w:t>2</w:t>
      </w:r>
      <w:r w:rsidR="006948EB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>г.</w:t>
      </w:r>
      <w:r w:rsidRPr="000B4275">
        <w:rPr>
          <w:szCs w:val="24"/>
        </w:rPr>
        <w:t xml:space="preserve"> </w:t>
      </w:r>
    </w:p>
    <w:p w14:paraId="53AF0AF6" w14:textId="1C074E05" w:rsidR="00982002" w:rsidRPr="000B4275" w:rsidRDefault="004342A3" w:rsidP="008064DC">
      <w:pPr>
        <w:ind w:left="-15" w:right="60" w:firstLine="0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Задаток перечисляется непосредственно стороной по договору о задатке (договору присоединения). </w:t>
      </w:r>
      <w:r w:rsidR="009E2CA1">
        <w:rPr>
          <w:szCs w:val="24"/>
        </w:rPr>
        <w:t>Оплата задатка третьими лицами не допускается.</w:t>
      </w:r>
    </w:p>
    <w:p w14:paraId="4410618D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lastRenderedPageBreak/>
        <w:t xml:space="preserve"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РАД-ххххх).  </w:t>
      </w:r>
    </w:p>
    <w:p w14:paraId="437B47A6" w14:textId="5BBAB56C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>Задаток служит обеспечением исполнения обязательства победителя</w:t>
      </w:r>
      <w:r w:rsidR="00D03553">
        <w:rPr>
          <w:szCs w:val="24"/>
        </w:rPr>
        <w:t>*</w:t>
      </w:r>
      <w:r w:rsidRPr="000B4275">
        <w:rPr>
          <w:szCs w:val="24"/>
        </w:rPr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</w:t>
      </w:r>
      <w:r w:rsidR="00D03553">
        <w:rPr>
          <w:szCs w:val="24"/>
        </w:rPr>
        <w:t>*</w:t>
      </w:r>
      <w:r w:rsidRPr="000B4275">
        <w:rPr>
          <w:szCs w:val="24"/>
        </w:rPr>
        <w:t xml:space="preserve"> засчитывается в сумму платежа по договору купли-продажи Объекта. </w:t>
      </w:r>
    </w:p>
    <w:p w14:paraId="6B787495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0B4275" w:rsidRDefault="00B1256D" w:rsidP="008064DC">
      <w:pPr>
        <w:ind w:left="567" w:right="60" w:firstLine="0"/>
        <w:rPr>
          <w:szCs w:val="24"/>
        </w:rPr>
      </w:pPr>
      <w:r w:rsidRPr="000B4275">
        <w:rPr>
          <w:szCs w:val="24"/>
        </w:rPr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4342A3">
      <w:pPr>
        <w:ind w:left="-15" w:right="60" w:firstLine="0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4342A3">
      <w:pPr>
        <w:ind w:left="-15" w:right="60" w:firstLine="0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8064DC">
      <w:pPr>
        <w:ind w:left="567" w:right="60" w:firstLine="0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8064DC">
      <w:pPr>
        <w:numPr>
          <w:ilvl w:val="0"/>
          <w:numId w:val="3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8064DC">
      <w:pPr>
        <w:numPr>
          <w:ilvl w:val="0"/>
          <w:numId w:val="3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8064DC">
      <w:pPr>
        <w:numPr>
          <w:ilvl w:val="0"/>
          <w:numId w:val="3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8064DC">
      <w:pPr>
        <w:numPr>
          <w:ilvl w:val="0"/>
          <w:numId w:val="3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3BCA99CD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667B13AE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AAEDB9F" w14:textId="00DEA1FA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>
        <w:rPr>
          <w:szCs w:val="24"/>
        </w:rPr>
        <w:t xml:space="preserve">на </w:t>
      </w:r>
      <w:r w:rsidR="00F34835">
        <w:rPr>
          <w:szCs w:val="24"/>
        </w:rPr>
        <w:t>условиях, установленных</w:t>
      </w:r>
      <w:r w:rsidR="004342A3">
        <w:rPr>
          <w:szCs w:val="24"/>
        </w:rPr>
        <w:t xml:space="preserve"> договором о задатке</w:t>
      </w:r>
      <w:r w:rsidRPr="000B4275">
        <w:rPr>
          <w:szCs w:val="24"/>
        </w:rPr>
        <w:t xml:space="preserve">. Надлежащим </w:t>
      </w:r>
      <w:r w:rsidRPr="000B4275">
        <w:rPr>
          <w:szCs w:val="24"/>
        </w:rPr>
        <w:lastRenderedPageBreak/>
        <w:t xml:space="preserve">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412C1B55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4216B09" w14:textId="492A4FA0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</w:t>
      </w:r>
      <w:r w:rsidR="00A0035B">
        <w:rPr>
          <w:szCs w:val="24"/>
        </w:rPr>
        <w:t>5</w:t>
      </w:r>
      <w:r w:rsidRPr="000B4275">
        <w:rPr>
          <w:szCs w:val="24"/>
        </w:rPr>
        <w:t xml:space="preserve"> (</w:t>
      </w:r>
      <w:r w:rsidR="00A0035B">
        <w:rPr>
          <w:szCs w:val="24"/>
        </w:rPr>
        <w:t>пять</w:t>
      </w:r>
      <w:r w:rsidRPr="000B4275">
        <w:rPr>
          <w:szCs w:val="24"/>
        </w:rPr>
        <w:t xml:space="preserve">) </w:t>
      </w:r>
      <w:r w:rsidR="00A0035B" w:rsidRPr="000B4275">
        <w:rPr>
          <w:szCs w:val="24"/>
        </w:rPr>
        <w:t>дн</w:t>
      </w:r>
      <w:r w:rsidR="00A0035B">
        <w:rPr>
          <w:szCs w:val="24"/>
        </w:rPr>
        <w:t>ей</w:t>
      </w:r>
      <w:r w:rsidR="00A0035B" w:rsidRPr="000B4275">
        <w:rPr>
          <w:szCs w:val="24"/>
        </w:rPr>
        <w:t xml:space="preserve"> </w:t>
      </w:r>
      <w:r w:rsidRPr="000B4275">
        <w:rPr>
          <w:szCs w:val="24"/>
        </w:rPr>
        <w:t xml:space="preserve">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DF5A095" w14:textId="55BA16B5" w:rsidR="00982002" w:rsidRPr="000B4275" w:rsidRDefault="00982002" w:rsidP="008064DC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731E3696" w14:textId="77777777" w:rsidR="00982002" w:rsidRPr="000B4275" w:rsidRDefault="00B1256D" w:rsidP="008064DC">
      <w:pPr>
        <w:spacing w:after="0" w:line="259" w:lineRule="auto"/>
        <w:ind w:left="708" w:right="60" w:firstLine="0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77777777" w:rsidR="00982002" w:rsidRPr="000B4275" w:rsidRDefault="00B1256D" w:rsidP="008064DC">
      <w:pPr>
        <w:spacing w:line="270" w:lineRule="auto"/>
        <w:ind w:left="2115" w:right="60" w:firstLine="0"/>
        <w:rPr>
          <w:szCs w:val="24"/>
        </w:rPr>
      </w:pPr>
      <w:r w:rsidRPr="000B4275">
        <w:rPr>
          <w:b/>
          <w:szCs w:val="24"/>
        </w:rPr>
        <w:t xml:space="preserve">ПОРЯДОК ПРОВЕДЕНИЯ ЭЛЕКТРОННОГО АУКЦИОНА: </w:t>
      </w:r>
    </w:p>
    <w:p w14:paraId="0FEA184B" w14:textId="561BE389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2B2B0AB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3C30452C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22DA738A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318F44B5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04BA9D8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 по цене  и фиксируется с точностью до 1 секунды.</w:t>
      </w:r>
    </w:p>
    <w:p w14:paraId="51BFB85B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6F4D05F" w14:textId="77777777" w:rsid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431062AF" w14:textId="78EA7891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66A6B56E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lastRenderedPageBreak/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24CEE50D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876086">
        <w:rPr>
          <w:szCs w:val="24"/>
        </w:rPr>
        <w:t xml:space="preserve"> *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9ECBE7D" w14:textId="1D93256F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>
        <w:rPr>
          <w:rStyle w:val="ae"/>
          <w:szCs w:val="24"/>
        </w:rPr>
        <w:t>*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A54A60A" w14:textId="77777777" w:rsidR="00D93964" w:rsidRPr="00D93964" w:rsidRDefault="00D93964" w:rsidP="00D93964">
      <w:pPr>
        <w:ind w:left="-15" w:right="60" w:firstLine="0"/>
        <w:rPr>
          <w:szCs w:val="24"/>
        </w:rPr>
      </w:pPr>
    </w:p>
    <w:p w14:paraId="5C72A54C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353C4261" w14:textId="77777777" w:rsidR="00D93964" w:rsidRPr="00D93964" w:rsidRDefault="00D93964" w:rsidP="00D93964">
      <w:pPr>
        <w:ind w:left="-15" w:right="60" w:firstLine="0"/>
        <w:rPr>
          <w:szCs w:val="24"/>
        </w:rPr>
      </w:pPr>
    </w:p>
    <w:p w14:paraId="63CB610C" w14:textId="77777777" w:rsidR="00D93964" w:rsidRPr="001F7538" w:rsidRDefault="00D93964" w:rsidP="001F7538">
      <w:pPr>
        <w:pStyle w:val="a3"/>
        <w:numPr>
          <w:ilvl w:val="0"/>
          <w:numId w:val="8"/>
        </w:numPr>
        <w:ind w:right="60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1F7538">
      <w:pPr>
        <w:pStyle w:val="a3"/>
        <w:numPr>
          <w:ilvl w:val="0"/>
          <w:numId w:val="8"/>
        </w:numPr>
        <w:ind w:right="60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1F7538">
      <w:pPr>
        <w:pStyle w:val="a3"/>
        <w:numPr>
          <w:ilvl w:val="0"/>
          <w:numId w:val="8"/>
        </w:numPr>
        <w:ind w:right="60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D93964">
      <w:pPr>
        <w:ind w:left="-15" w:right="60" w:firstLine="0"/>
        <w:rPr>
          <w:szCs w:val="24"/>
        </w:rPr>
      </w:pPr>
    </w:p>
    <w:p w14:paraId="5B459FA9" w14:textId="0C1C7E2D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Телефоны службы технической поддержки Lot-online: 8-800-777-57-57, доб. </w:t>
      </w:r>
      <w:r w:rsidR="00B0090D">
        <w:rPr>
          <w:szCs w:val="24"/>
        </w:rPr>
        <w:t>713</w:t>
      </w:r>
      <w:r w:rsidR="00B0090D" w:rsidRPr="00D93964">
        <w:rPr>
          <w:szCs w:val="24"/>
        </w:rPr>
        <w:t>.</w:t>
      </w:r>
    </w:p>
    <w:p w14:paraId="37982A18" w14:textId="77777777" w:rsidR="00982002" w:rsidRPr="000B4275" w:rsidRDefault="00B1256D" w:rsidP="008064DC">
      <w:pPr>
        <w:spacing w:after="31" w:line="259" w:lineRule="auto"/>
        <w:ind w:left="708" w:right="60" w:firstLine="0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8064DC">
      <w:pPr>
        <w:spacing w:line="270" w:lineRule="auto"/>
        <w:ind w:left="1789" w:right="60" w:firstLine="0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3606B22A" w14:textId="41AA5DC3" w:rsidR="00982002" w:rsidRPr="000B4275" w:rsidRDefault="00B1256D" w:rsidP="008064DC">
      <w:pPr>
        <w:spacing w:line="270" w:lineRule="auto"/>
        <w:ind w:left="-15" w:right="60" w:firstLine="0"/>
        <w:rPr>
          <w:szCs w:val="24"/>
        </w:rPr>
      </w:pPr>
      <w:r w:rsidRPr="000B4275">
        <w:rPr>
          <w:b/>
          <w:szCs w:val="24"/>
        </w:rPr>
        <w:t xml:space="preserve">Договор купли-продажи Объекта заключается </w:t>
      </w:r>
      <w:r w:rsidR="00570488">
        <w:rPr>
          <w:b/>
          <w:szCs w:val="24"/>
        </w:rPr>
        <w:t>п</w:t>
      </w:r>
      <w:r w:rsidRPr="000B4275">
        <w:rPr>
          <w:b/>
          <w:szCs w:val="24"/>
        </w:rPr>
        <w:t>обедителем электронного аукциона</w:t>
      </w:r>
      <w:r w:rsidR="00876086">
        <w:rPr>
          <w:b/>
          <w:szCs w:val="24"/>
        </w:rPr>
        <w:t>*</w:t>
      </w:r>
      <w:r w:rsidR="00876086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(Покупателем) с Продавцом в течение </w:t>
      </w:r>
      <w:r w:rsidR="00382C9F">
        <w:rPr>
          <w:b/>
          <w:szCs w:val="24"/>
        </w:rPr>
        <w:t>5</w:t>
      </w:r>
      <w:r w:rsidR="00382C9F" w:rsidRPr="000B4275">
        <w:rPr>
          <w:b/>
          <w:szCs w:val="24"/>
        </w:rPr>
        <w:t xml:space="preserve"> (</w:t>
      </w:r>
      <w:r w:rsidR="00382C9F">
        <w:rPr>
          <w:b/>
          <w:szCs w:val="24"/>
        </w:rPr>
        <w:t>пяти</w:t>
      </w:r>
      <w:r w:rsidR="00382C9F" w:rsidRPr="000B4275">
        <w:rPr>
          <w:b/>
          <w:szCs w:val="24"/>
        </w:rPr>
        <w:t xml:space="preserve">) </w:t>
      </w:r>
      <w:r w:rsidRPr="000B4275">
        <w:rPr>
          <w:b/>
          <w:szCs w:val="24"/>
        </w:rPr>
        <w:t xml:space="preserve">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703AC5C4" w14:textId="28704846" w:rsidR="00982002" w:rsidRPr="00876086" w:rsidRDefault="00B1256D" w:rsidP="00D172D1">
      <w:pPr>
        <w:spacing w:after="12" w:line="259" w:lineRule="auto"/>
        <w:ind w:left="10" w:right="60" w:firstLine="0"/>
        <w:rPr>
          <w:szCs w:val="24"/>
        </w:rPr>
      </w:pPr>
      <w:r w:rsidRPr="000B4275">
        <w:rPr>
          <w:szCs w:val="24"/>
        </w:rPr>
        <w:lastRenderedPageBreak/>
        <w:t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</w:t>
      </w:r>
      <w:r w:rsidR="00FB6681">
        <w:rPr>
          <w:szCs w:val="24"/>
        </w:rPr>
        <w:t xml:space="preserve">а, явиться по адресу: </w:t>
      </w:r>
      <w:r w:rsidR="00D172D1" w:rsidRPr="00876086">
        <w:t>Санкт-Петербург, 16-я линия В.О., д.7, оф. 1409</w:t>
      </w:r>
      <w:r w:rsidRPr="00876086">
        <w:rPr>
          <w:szCs w:val="24"/>
        </w:rPr>
        <w:t xml:space="preserve">.  </w:t>
      </w:r>
    </w:p>
    <w:p w14:paraId="19C1D343" w14:textId="5EBE4906" w:rsidR="00982002" w:rsidRPr="00876086" w:rsidRDefault="00B1256D" w:rsidP="001A0E72">
      <w:pPr>
        <w:ind w:left="0" w:right="60" w:firstLine="0"/>
        <w:rPr>
          <w:b/>
        </w:rPr>
      </w:pPr>
      <w:r w:rsidRPr="00876086">
        <w:rPr>
          <w:b/>
          <w:szCs w:val="24"/>
        </w:rPr>
        <w:t xml:space="preserve">Оплата цены продажи Объекта производится </w:t>
      </w:r>
      <w:r w:rsidR="001F7538" w:rsidRPr="00876086">
        <w:rPr>
          <w:b/>
          <w:szCs w:val="24"/>
        </w:rPr>
        <w:t>Покупателем за</w:t>
      </w:r>
      <w:r w:rsidRPr="00876086">
        <w:rPr>
          <w:b/>
          <w:szCs w:val="24"/>
        </w:rPr>
        <w:t xml:space="preserve"> вычетом ранее внесённого задатка </w:t>
      </w:r>
      <w:r w:rsidR="001A0E72" w:rsidRPr="00876086">
        <w:rPr>
          <w:b/>
          <w:szCs w:val="24"/>
        </w:rPr>
        <w:t xml:space="preserve">в соответствии </w:t>
      </w:r>
      <w:r w:rsidR="001A0E72" w:rsidRPr="00876086">
        <w:rPr>
          <w:b/>
          <w:bCs/>
        </w:rPr>
        <w:t xml:space="preserve">с </w:t>
      </w:r>
      <w:r w:rsidR="00476AAC" w:rsidRPr="00876086">
        <w:rPr>
          <w:b/>
          <w:bCs/>
        </w:rPr>
        <w:t>условиями</w:t>
      </w:r>
      <w:r w:rsidR="00407EC1" w:rsidRPr="00876086">
        <w:rPr>
          <w:b/>
          <w:bCs/>
        </w:rPr>
        <w:t xml:space="preserve"> договора купли-продажи</w:t>
      </w:r>
      <w:r w:rsidR="001A0E72" w:rsidRPr="00876086">
        <w:rPr>
          <w:b/>
          <w:bCs/>
        </w:rPr>
        <w:t xml:space="preserve">, </w:t>
      </w:r>
      <w:r w:rsidR="00476AAC" w:rsidRPr="00876086">
        <w:rPr>
          <w:b/>
          <w:bCs/>
        </w:rPr>
        <w:t xml:space="preserve">форма которого </w:t>
      </w:r>
      <w:r w:rsidR="001A0E72" w:rsidRPr="00876086">
        <w:rPr>
          <w:b/>
          <w:bCs/>
        </w:rPr>
        <w:t>размещен</w:t>
      </w:r>
      <w:r w:rsidR="00476AAC" w:rsidRPr="00876086">
        <w:rPr>
          <w:b/>
          <w:bCs/>
        </w:rPr>
        <w:t>а</w:t>
      </w:r>
      <w:r w:rsidR="001A0E72"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  <w:szCs w:val="24"/>
        </w:rPr>
        <w:t xml:space="preserve">  </w:t>
      </w:r>
    </w:p>
    <w:p w14:paraId="3BD269E9" w14:textId="0D8C9E65" w:rsidR="00982002" w:rsidRPr="00876086" w:rsidRDefault="00B1256D" w:rsidP="008064DC">
      <w:pPr>
        <w:ind w:left="-15" w:right="60" w:firstLine="0"/>
        <w:rPr>
          <w:szCs w:val="24"/>
        </w:rPr>
      </w:pPr>
      <w:r w:rsidRPr="00876086">
        <w:rPr>
          <w:szCs w:val="24"/>
        </w:rPr>
        <w:t>При уклонении (отказе) Покупателя</w:t>
      </w:r>
      <w:r w:rsidRPr="00876086">
        <w:rPr>
          <w:b/>
          <w:szCs w:val="24"/>
        </w:rPr>
        <w:t xml:space="preserve"> </w:t>
      </w:r>
      <w:r w:rsidRPr="00876086">
        <w:rPr>
          <w:szCs w:val="24"/>
        </w:rPr>
        <w:t xml:space="preserve">от </w:t>
      </w:r>
      <w:r w:rsidR="00476AAC" w:rsidRPr="00876086">
        <w:rPr>
          <w:szCs w:val="24"/>
        </w:rPr>
        <w:t xml:space="preserve">подписания договора купли-продажи, </w:t>
      </w:r>
      <w:r w:rsidRPr="00876086">
        <w:rPr>
          <w:szCs w:val="24"/>
        </w:rPr>
        <w:t xml:space="preserve">оплаты покупной цены Объекта в установленный срок задаток ему не возвращается. </w:t>
      </w:r>
    </w:p>
    <w:p w14:paraId="2E58F2C1" w14:textId="5044212B" w:rsidR="00407EC1" w:rsidRPr="00876086" w:rsidRDefault="00B1256D" w:rsidP="00407EC1">
      <w:pPr>
        <w:ind w:left="-15" w:right="60" w:firstLine="0"/>
        <w:rPr>
          <w:bCs/>
          <w:szCs w:val="24"/>
        </w:rPr>
      </w:pPr>
      <w:r w:rsidRPr="00876086"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="00407EC1" w:rsidRPr="00876086">
        <w:rPr>
          <w:bCs/>
          <w:szCs w:val="24"/>
        </w:rPr>
        <w:t xml:space="preserve">в соответствии </w:t>
      </w:r>
      <w:r w:rsidR="00407EC1" w:rsidRPr="00876086">
        <w:rPr>
          <w:bCs/>
        </w:rPr>
        <w:t xml:space="preserve">с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</w:t>
      </w:r>
      <w:r w:rsidR="00476AAC" w:rsidRPr="00876086">
        <w:rPr>
          <w:bCs/>
        </w:rPr>
        <w:t xml:space="preserve">, 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сайте www.lot-online.ru в разделе «карточка лота».</w:t>
      </w:r>
      <w:r w:rsidR="00407EC1" w:rsidRPr="00876086">
        <w:rPr>
          <w:rFonts w:eastAsia="Courier New"/>
          <w:bCs/>
          <w:szCs w:val="24"/>
        </w:rPr>
        <w:t xml:space="preserve"> </w:t>
      </w:r>
    </w:p>
    <w:p w14:paraId="56E05332" w14:textId="53CED5D9" w:rsidR="00407EC1" w:rsidRDefault="00B1256D" w:rsidP="00407EC1">
      <w:pPr>
        <w:ind w:left="-15" w:right="60" w:firstLine="0"/>
        <w:rPr>
          <w:rFonts w:eastAsia="Courier New"/>
          <w:bCs/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876086">
        <w:rPr>
          <w:bCs/>
          <w:szCs w:val="24"/>
        </w:rPr>
        <w:t xml:space="preserve">в соответствии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купли-продажи, </w:t>
      </w:r>
      <w:r w:rsidR="00476AAC" w:rsidRPr="00876086">
        <w:rPr>
          <w:bCs/>
        </w:rPr>
        <w:t xml:space="preserve">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на сайте www.lot-online.ru в разделе «карточка лота».</w:t>
      </w:r>
      <w:r w:rsidR="00407EC1" w:rsidRPr="00407EC1">
        <w:rPr>
          <w:rFonts w:eastAsia="Courier New"/>
          <w:bCs/>
          <w:szCs w:val="24"/>
        </w:rPr>
        <w:t xml:space="preserve"> </w:t>
      </w:r>
    </w:p>
    <w:p w14:paraId="13648C22" w14:textId="426585DA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382C9F" w:rsidRPr="000B4275">
        <w:rPr>
          <w:szCs w:val="24"/>
        </w:rPr>
        <w:t>-</w:t>
      </w:r>
      <w:r w:rsidR="00382C9F">
        <w:rPr>
          <w:szCs w:val="24"/>
        </w:rPr>
        <w:t>931 398 1486</w:t>
      </w:r>
      <w:r w:rsidR="00382C9F" w:rsidRPr="000B4275">
        <w:rPr>
          <w:szCs w:val="24"/>
        </w:rPr>
        <w:t xml:space="preserve">, </w:t>
      </w:r>
      <w:r w:rsidRPr="000B4275">
        <w:rPr>
          <w:szCs w:val="24"/>
        </w:rPr>
        <w:t xml:space="preserve">8-800-777-57-57, доб. </w:t>
      </w:r>
      <w:r w:rsidR="00B0090D">
        <w:rPr>
          <w:szCs w:val="24"/>
        </w:rPr>
        <w:t>713</w:t>
      </w:r>
      <w:r w:rsidR="00B0090D" w:rsidRPr="000B4275">
        <w:rPr>
          <w:szCs w:val="24"/>
        </w:rPr>
        <w:t xml:space="preserve">. </w:t>
      </w:r>
    </w:p>
    <w:p w14:paraId="1360BB50" w14:textId="4A7BA303" w:rsidR="00982002" w:rsidRDefault="00B1256D" w:rsidP="008064DC">
      <w:pPr>
        <w:ind w:left="567" w:right="60" w:firstLine="0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15166A84" w14:textId="483C6688" w:rsidR="00476AAC" w:rsidRPr="000B4275" w:rsidRDefault="00476AAC" w:rsidP="008064DC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1D42B" w14:textId="77777777" w:rsidR="00F9095A" w:rsidRDefault="00F9095A" w:rsidP="00AB1487">
      <w:pPr>
        <w:spacing w:after="0" w:line="240" w:lineRule="auto"/>
      </w:pPr>
      <w:r>
        <w:separator/>
      </w:r>
    </w:p>
  </w:endnote>
  <w:endnote w:type="continuationSeparator" w:id="0">
    <w:p w14:paraId="5AB94952" w14:textId="77777777" w:rsidR="00F9095A" w:rsidRDefault="00F9095A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F39D5" w14:textId="77777777" w:rsidR="00F9095A" w:rsidRDefault="00F9095A" w:rsidP="00AB1487">
      <w:pPr>
        <w:spacing w:after="0" w:line="240" w:lineRule="auto"/>
      </w:pPr>
      <w:r>
        <w:separator/>
      </w:r>
    </w:p>
  </w:footnote>
  <w:footnote w:type="continuationSeparator" w:id="0">
    <w:p w14:paraId="055D2487" w14:textId="77777777" w:rsidR="00F9095A" w:rsidRDefault="00F9095A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B4275"/>
    <w:rsid w:val="000C2C54"/>
    <w:rsid w:val="001A0E72"/>
    <w:rsid w:val="001F7538"/>
    <w:rsid w:val="00273D0F"/>
    <w:rsid w:val="00326879"/>
    <w:rsid w:val="00382C9F"/>
    <w:rsid w:val="003C5080"/>
    <w:rsid w:val="003D2255"/>
    <w:rsid w:val="003D3AEA"/>
    <w:rsid w:val="00407EC1"/>
    <w:rsid w:val="004342A3"/>
    <w:rsid w:val="00445CC8"/>
    <w:rsid w:val="00476AAC"/>
    <w:rsid w:val="00570488"/>
    <w:rsid w:val="0059248D"/>
    <w:rsid w:val="005C5D51"/>
    <w:rsid w:val="00620BB9"/>
    <w:rsid w:val="00631472"/>
    <w:rsid w:val="00674036"/>
    <w:rsid w:val="00684D35"/>
    <w:rsid w:val="006948EB"/>
    <w:rsid w:val="006E2A36"/>
    <w:rsid w:val="006F3A06"/>
    <w:rsid w:val="0077709F"/>
    <w:rsid w:val="007850C7"/>
    <w:rsid w:val="007A5959"/>
    <w:rsid w:val="008064DC"/>
    <w:rsid w:val="00832EA0"/>
    <w:rsid w:val="008432C1"/>
    <w:rsid w:val="00876086"/>
    <w:rsid w:val="008D72D4"/>
    <w:rsid w:val="00906DD9"/>
    <w:rsid w:val="00931E74"/>
    <w:rsid w:val="00982002"/>
    <w:rsid w:val="009E2CA1"/>
    <w:rsid w:val="009E7167"/>
    <w:rsid w:val="00A0035B"/>
    <w:rsid w:val="00A174E6"/>
    <w:rsid w:val="00A60316"/>
    <w:rsid w:val="00A817EA"/>
    <w:rsid w:val="00A81A91"/>
    <w:rsid w:val="00AA1C0E"/>
    <w:rsid w:val="00AB1487"/>
    <w:rsid w:val="00AB78C5"/>
    <w:rsid w:val="00B0090D"/>
    <w:rsid w:val="00B1256D"/>
    <w:rsid w:val="00B37EC1"/>
    <w:rsid w:val="00B50DB3"/>
    <w:rsid w:val="00C706BC"/>
    <w:rsid w:val="00CC1AE1"/>
    <w:rsid w:val="00CC3462"/>
    <w:rsid w:val="00CF00FF"/>
    <w:rsid w:val="00CF3749"/>
    <w:rsid w:val="00CF6C71"/>
    <w:rsid w:val="00D00FE0"/>
    <w:rsid w:val="00D03553"/>
    <w:rsid w:val="00D172D1"/>
    <w:rsid w:val="00D214A3"/>
    <w:rsid w:val="00D60F5E"/>
    <w:rsid w:val="00D93964"/>
    <w:rsid w:val="00D9776F"/>
    <w:rsid w:val="00DB1EB9"/>
    <w:rsid w:val="00DB4176"/>
    <w:rsid w:val="00DF6853"/>
    <w:rsid w:val="00E55A11"/>
    <w:rsid w:val="00E7338D"/>
    <w:rsid w:val="00ED2FD8"/>
    <w:rsid w:val="00F34835"/>
    <w:rsid w:val="00F45DF0"/>
    <w:rsid w:val="00F90807"/>
    <w:rsid w:val="00F9095A"/>
    <w:rsid w:val="00FA1554"/>
    <w:rsid w:val="00FB6681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8F04D-1640-49DF-BC8C-3B263F2E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Гаврилин Андрей Николаевич</cp:lastModifiedBy>
  <cp:revision>3</cp:revision>
  <dcterms:created xsi:type="dcterms:W3CDTF">2022-09-30T12:11:00Z</dcterms:created>
  <dcterms:modified xsi:type="dcterms:W3CDTF">2022-10-03T08:17:00Z</dcterms:modified>
</cp:coreProperties>
</file>