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74" w:rsidRDefault="00417174"/>
    <w:p w:rsidR="00A867D9" w:rsidRDefault="00A867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5339516</wp:posOffset>
                </wp:positionH>
                <wp:positionV relativeFrom="paragraph">
                  <wp:posOffset>2086999</wp:posOffset>
                </wp:positionV>
                <wp:extent cx="655026" cy="1487226"/>
                <wp:effectExtent l="19050" t="0" r="31115" b="3683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26" cy="1487226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61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68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420.45pt;margin-top:164.35pt;width:51.6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" adj="16843" fillcolor="#92bce3 [2132]" strokecolor="#1f4d78 [1604]" strokeweight="1pt">
                <v:fill color2="#d9e8f5 [756]" o:opacity2="39976f" rotate="t" angle="45" colors="0 #9ac3f6;.5 #c1d8f8;1 #e1ecfb" focus="100%" type="gradien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725723" cy="5347917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014" cy="53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BD" w:rsidRDefault="002427B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7796"/>
      </w:tblGrid>
      <w:tr w:rsidR="002427BD" w:rsidTr="00B92EF2">
        <w:tc>
          <w:tcPr>
            <w:tcW w:w="1560" w:type="dxa"/>
          </w:tcPr>
          <w:p w:rsidR="002427BD" w:rsidRDefault="002427BD" w:rsidP="00B92EF2">
            <w:pPr>
              <w:pStyle w:val="1"/>
              <w:keepNext w:val="0"/>
              <w:keepLines w:val="0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ТД-3</w:t>
            </w:r>
          </w:p>
        </w:tc>
        <w:tc>
          <w:tcPr>
            <w:tcW w:w="7796" w:type="dxa"/>
          </w:tcPr>
          <w:p w:rsidR="002427BD" w:rsidRDefault="002427BD" w:rsidP="00B92EF2">
            <w:pPr>
              <w:pStyle w:val="1"/>
              <w:keepNext w:val="0"/>
              <w:keepLines w:val="0"/>
              <w:snapToGrid w:val="0"/>
              <w:spacing w:before="40" w:after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обслуживания объектов, необходимых для осуществления прои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водственной и предпринимательской деятельности</w:t>
            </w:r>
          </w:p>
        </w:tc>
      </w:tr>
    </w:tbl>
    <w:p w:rsidR="002427BD" w:rsidRDefault="002427BD" w:rsidP="002427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ТД-3 ЗОНА ОБСЛУЖИВАНИЯ ОБЪЕКТОВ, НЕОБХОДИМЫХ ДЛЯ ОСУЩ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СТВЛЕНИЯ ПРОИЗВОДСТВЕННОЙ И ПРЕДПРИНИМАТЕЛЬСКОЙ ДЕЯТЕЛЬН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СТИ </w:t>
      </w:r>
    </w:p>
    <w:p w:rsidR="002427BD" w:rsidRDefault="002427BD" w:rsidP="0024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 обслуживания объектов, необходимых для осуществления производственной и предпринимательской деятельности, предназначена для размещения производственно-деловых объектов при соблюдении нижеприведенных видов разрешенного использования 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мельных участков и объектов капитального строительства.</w:t>
      </w:r>
    </w:p>
    <w:p w:rsidR="002427BD" w:rsidRDefault="002427BD" w:rsidP="002427BD">
      <w:pPr>
        <w:autoSpaceDE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Территориальная зона ТД-3.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Градостроительный регламент многофункционал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ь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ной зоны объектов, необходимых для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осуществления  производственной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предприним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а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тельской деятельности (виды разрешенного использования и предельные параметры)</w:t>
      </w:r>
    </w:p>
    <w:p w:rsidR="002427BD" w:rsidRDefault="002427BD" w:rsidP="002427BD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Цель выделения зоны – создание условий для формирования зон для размещения специализированных общественно-деловых объектов, преимущественно коммерческого н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t>; развитие необходимых объектов инженерной и транспортной инфраструктур.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Основные и условно разрешенные виды использования земельных участков и объе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>тов капитального строительства:</w:t>
      </w:r>
    </w:p>
    <w:p w:rsidR="002427BD" w:rsidRDefault="002427BD" w:rsidP="002427BD">
      <w:pPr>
        <w:autoSpaceDE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Основные виды разрешенного использования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розничной торговли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оптовой торговли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охраны общественного порядка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науки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коммерческих объектов, не связанных с проживанием населения (бизнес-центров, отдельных офисов различных фирм, компаний и других т.д.)</w:t>
      </w:r>
    </w:p>
    <w:p w:rsidR="002427BD" w:rsidRDefault="002427BD" w:rsidP="0024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кредитно-финансовых учреждений</w:t>
      </w:r>
    </w:p>
    <w:p w:rsidR="002427BD" w:rsidRDefault="002427BD" w:rsidP="0024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торгово-выставочных комплексов</w:t>
      </w:r>
    </w:p>
    <w:p w:rsidR="002427BD" w:rsidRDefault="002427BD" w:rsidP="0024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проектных, научно-исследовательских и изыскательских организаций, не требующих создания санитарно-защитной зоны</w:t>
      </w:r>
    </w:p>
    <w:p w:rsidR="002427BD" w:rsidRDefault="002427BD" w:rsidP="0024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Размещение предприятий общественного питания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зеленых насаждений, выполняющих специальные функции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садов, скверов, бульваров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объектов гражданской обороны и предотвращения чрезвычайных ситу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ций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транспорта (под предприятия автосервиса)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стоянок индивидуального легкового автотранспорта </w:t>
      </w:r>
    </w:p>
    <w:p w:rsidR="002427BD" w:rsidRDefault="002427BD" w:rsidP="002427BD">
      <w:pPr>
        <w:autoSpaceDE w:val="0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Размещение объектов коммунального хозяйства (инженерно- технического обе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с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печения) и транспорта, необходимых для обеспечения объектов разрешенных видов и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с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пользования, при отсутствии норм законодательства, запрещающих их размещение: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распределительных пунктов и подстанций, трансформаторных подста</w:t>
      </w:r>
      <w:r>
        <w:rPr>
          <w:rFonts w:ascii="TimesNewRomanPSMT" w:hAnsi="TimesNewRomanPSMT" w:cs="TimesNewRomanPSMT"/>
          <w:sz w:val="24"/>
          <w:szCs w:val="24"/>
        </w:rPr>
        <w:t>н</w:t>
      </w:r>
      <w:r>
        <w:rPr>
          <w:rFonts w:ascii="TimesNewRomanPSMT" w:hAnsi="TimesNewRomanPSMT" w:cs="TimesNewRomanPSMT"/>
          <w:sz w:val="24"/>
          <w:szCs w:val="24"/>
        </w:rPr>
        <w:t>ций, блок-модульных котельных, насосных станций перекачки, центральных и индивидуал</w:t>
      </w:r>
      <w:r>
        <w:rPr>
          <w:rFonts w:ascii="TimesNewRomanPSMT" w:hAnsi="TimesNewRomanPSMT" w:cs="TimesNewRomanPSMT"/>
          <w:sz w:val="24"/>
          <w:szCs w:val="24"/>
        </w:rPr>
        <w:t>ь</w:t>
      </w:r>
      <w:r>
        <w:rPr>
          <w:rFonts w:ascii="TimesNewRomanPSMT" w:hAnsi="TimesNewRomanPSMT" w:cs="TimesNewRomanPSMT"/>
          <w:sz w:val="24"/>
          <w:szCs w:val="24"/>
        </w:rPr>
        <w:t>ных тепловых пунктов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наземных сооружений линий электропередач и тепловых сетей (перехо</w:t>
      </w:r>
      <w:r>
        <w:rPr>
          <w:rFonts w:ascii="TimesNewRomanPSMT" w:hAnsi="TimesNewRomanPSMT" w:cs="TimesNewRomanPSMT"/>
          <w:sz w:val="24"/>
          <w:szCs w:val="24"/>
        </w:rPr>
        <w:t>д</w:t>
      </w:r>
      <w:r>
        <w:rPr>
          <w:rFonts w:ascii="TimesNewRomanPSMT" w:hAnsi="TimesNewRomanPSMT" w:cs="TimesNewRomanPSMT"/>
          <w:sz w:val="24"/>
          <w:szCs w:val="24"/>
        </w:rPr>
        <w:t>ных пунктов и опор воздушных ЛЭП, кабельных киосков, павильонов камер и т.д.)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повысительных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водопроводных насосных станций, водонапорных башен, водомерных узлов, водозаборных скважин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очистных сооружений поверхностного стока и локальных очистных с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оружений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канализационных насосных станций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наземных сооружений канализационных сетей (павильонов шахт, скв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жин и т.д.)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газораспределительных пунктов </w:t>
      </w:r>
    </w:p>
    <w:p w:rsidR="002427BD" w:rsidRDefault="002427BD" w:rsidP="0024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пожарных частей</w:t>
      </w:r>
    </w:p>
    <w:p w:rsidR="002427BD" w:rsidRDefault="002427BD" w:rsidP="002427BD">
      <w:pPr>
        <w:autoSpaceDE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Условно разрешенные виды использования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промышленных объектов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складских объектов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электроподстанций закрытого типа (в том числе тяговых для электр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транспорта), котельных тепловой мощностью до 200 Гкал/час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водопроводных станций (водозаборных и очистных сооружений) и по</w:t>
      </w:r>
      <w:r>
        <w:rPr>
          <w:rFonts w:ascii="TimesNewRomanPSMT" w:hAnsi="TimesNewRomanPSMT" w:cs="TimesNewRomanPSMT"/>
          <w:sz w:val="24"/>
          <w:szCs w:val="24"/>
        </w:rPr>
        <w:t>д</w:t>
      </w:r>
      <w:r>
        <w:rPr>
          <w:rFonts w:ascii="TimesNewRomanPSMT" w:hAnsi="TimesNewRomanPSMT" w:cs="TimesNewRomanPSMT"/>
          <w:sz w:val="24"/>
          <w:szCs w:val="24"/>
        </w:rPr>
        <w:t>станций (насосных станций с резервуарами чистой воды)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регулирующих резервуаров очистных сооружений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бытового обслуживания (включая бани)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объектов среднего и высшего профессионального образования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амбулаторно-поликлинических учреждений.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ветеринарных поликлиник, станций и питомников для бездомных живо</w:t>
      </w:r>
      <w:r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ных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крытых спортивных комплексов (физкультурно-оздоровительных ко</w:t>
      </w:r>
      <w:r>
        <w:rPr>
          <w:rFonts w:ascii="TimesNewRomanPSMT" w:hAnsi="TimesNewRomanPSMT" w:cs="TimesNewRomanPSMT"/>
          <w:sz w:val="24"/>
          <w:szCs w:val="24"/>
        </w:rPr>
        <w:t>м</w:t>
      </w:r>
      <w:r>
        <w:rPr>
          <w:rFonts w:ascii="TimesNewRomanPSMT" w:hAnsi="TimesNewRomanPSMT" w:cs="TimesNewRomanPSMT"/>
          <w:sz w:val="24"/>
          <w:szCs w:val="24"/>
        </w:rPr>
        <w:t>плексов, спортивных залов, бассейнов и т.д.) без трибун для зрителей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крытых спортивных комплексов с трибунами для зрителей при количес</w:t>
      </w:r>
      <w:r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ве мест до 1 тысячи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объектов культуры и искусства, не связанных с проживанием населения, кроме специальных парков (зоопарков, ботанических садов и др.)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религиозных объектов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государственных административно-управленческих объектов и неко</w:t>
      </w:r>
      <w:r>
        <w:rPr>
          <w:rFonts w:ascii="TimesNewRomanPSMT" w:hAnsi="TimesNewRomanPSMT" w:cs="TimesNewRomanPSMT"/>
          <w:sz w:val="24"/>
          <w:szCs w:val="24"/>
        </w:rPr>
        <w:t>м</w:t>
      </w:r>
      <w:r>
        <w:rPr>
          <w:rFonts w:ascii="TimesNewRomanPSMT" w:hAnsi="TimesNewRomanPSMT" w:cs="TimesNewRomanPSMT"/>
          <w:sz w:val="24"/>
          <w:szCs w:val="24"/>
        </w:rPr>
        <w:t>мерческих организаций, не связанных с проживанием населения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гостиниц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связи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мусороперегрузочных прессовальных и сортировочных станций, в том числе площадок для накопления упакованных отходов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снегоприемных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пунктов,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снегоплавильных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камер и складов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противогол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ледных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материалов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объектов внутригородского транспорта (за исключением подземных и надземных пешеходных переходов)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подземных и надземных пешеходных переходов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объектов железнодорожного транспорта (за исключением железнод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рожных вокзалов)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внешнего автомобильного транспорта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объектов трубопроводного транспорта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объектов транспорта (автозаправочных и газонаполнительных станций)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стоянок с гаражами боксового типа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многоэтажных и подземных гаражей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>стоянок городского транспорта (ведомственного, экскурсионного тран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порта, такси)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стоянок внешнего грузового транспорта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причалов и стоянок водного транспорта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</w:t>
      </w:r>
      <w:r>
        <w:rPr>
          <w:rFonts w:ascii="TimesNewRomanPSMT" w:hAnsi="TimesNewRomanPSMT" w:cs="TimesNewRomanPSMT"/>
          <w:sz w:val="24"/>
          <w:szCs w:val="24"/>
        </w:rPr>
        <w:t xml:space="preserve">спортивных клубов </w:t>
      </w:r>
    </w:p>
    <w:p w:rsidR="002427BD" w:rsidRDefault="002427BD" w:rsidP="002427BD">
      <w:pPr>
        <w:autoSpaceDE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Вспомогательные виды разрешенного использования земельных участков и объектов капитального строительства определяются в соответствии со статьей 45.3 настоящих Правил.</w:t>
      </w:r>
    </w:p>
    <w:p w:rsidR="002427BD" w:rsidRDefault="002427BD" w:rsidP="002427BD">
      <w:pPr>
        <w:autoSpaceDE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2427BD" w:rsidRDefault="002427BD" w:rsidP="002427BD">
      <w:pPr>
        <w:autoSpaceDE w:val="0"/>
        <w:ind w:left="709" w:firstLine="1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минимальная площадь земельных участков устанавливается в соответствии со стат</w:t>
      </w:r>
      <w:r>
        <w:rPr>
          <w:rFonts w:ascii="TimesNewRomanPSMT" w:hAnsi="TimesNewRomanPSMT" w:cs="TimesNewRomanPSMT"/>
          <w:sz w:val="24"/>
          <w:szCs w:val="24"/>
        </w:rPr>
        <w:t>ь</w:t>
      </w:r>
      <w:r>
        <w:rPr>
          <w:rFonts w:ascii="TimesNewRomanPSMT" w:hAnsi="TimesNewRomanPSMT" w:cs="TimesNewRomanPSMT"/>
          <w:sz w:val="24"/>
          <w:szCs w:val="24"/>
        </w:rPr>
        <w:t>ей 45.4 настоящих Правил;</w:t>
      </w:r>
    </w:p>
    <w:p w:rsidR="002427BD" w:rsidRDefault="002427BD" w:rsidP="002427BD">
      <w:pPr>
        <w:autoSpaceDE w:val="0"/>
        <w:ind w:left="709" w:firstLine="1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минимальные отступы зданий, строений, сооружений от границ земельных участков устанавливаются в соответствии со статьей 45.5 настоящих Правил;</w:t>
      </w:r>
    </w:p>
    <w:p w:rsidR="002427BD" w:rsidRDefault="002427BD" w:rsidP="002427BD">
      <w:pPr>
        <w:autoSpaceDE w:val="0"/>
        <w:ind w:left="709" w:firstLine="1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максимальные выступы за красную линию частей зданий, строений, сооружений у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танавливаются в соответствии со статьей 45.6 настоящих Правил;</w:t>
      </w:r>
    </w:p>
    <w:p w:rsidR="002427BD" w:rsidRDefault="002427BD" w:rsidP="002427BD">
      <w:pPr>
        <w:autoSpaceDE w:val="0"/>
        <w:ind w:left="709" w:firstLine="1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:rsidR="002427BD" w:rsidRDefault="002427BD" w:rsidP="002427BD">
      <w:pPr>
        <w:autoSpaceDE w:val="0"/>
        <w:ind w:left="709" w:firstLine="1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5)максимальная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высота зданий, строений, сооружений на территории земельного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стка устанавливается в соответствии со статьей 45.8 настоящих Правил.</w:t>
      </w:r>
    </w:p>
    <w:p w:rsidR="002427BD" w:rsidRDefault="002427BD" w:rsidP="002427BD">
      <w:pPr>
        <w:autoSpaceDE w:val="0"/>
        <w:ind w:left="709" w:firstLine="1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6) максимальная общая площадь объектов капитального строительства нежилого н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значения на территории земельных участков – 2 000 квадратных метров для складских объектов, для объектов иного нежилого назначения данный параметр не устанавлив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>ется;</w:t>
      </w:r>
    </w:p>
    <w:p w:rsidR="002427BD" w:rsidRDefault="002427BD" w:rsidP="002427BD">
      <w:pPr>
        <w:autoSpaceDE w:val="0"/>
        <w:ind w:left="7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7) максимальный класс опасности (по санитарной классификации)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объектов  капитал</w:t>
      </w:r>
      <w:r>
        <w:rPr>
          <w:rFonts w:ascii="TimesNewRomanPSMT" w:hAnsi="TimesNewRomanPSMT" w:cs="TimesNewRomanPSMT"/>
          <w:sz w:val="24"/>
          <w:szCs w:val="24"/>
        </w:rPr>
        <w:t>ь</w:t>
      </w:r>
      <w:r>
        <w:rPr>
          <w:rFonts w:ascii="TimesNewRomanPSMT" w:hAnsi="TimesNewRomanPSMT" w:cs="TimesNewRomanPSMT"/>
          <w:sz w:val="24"/>
          <w:szCs w:val="24"/>
        </w:rPr>
        <w:t>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строительства, размещаемых на территории земельных участков, - IV;</w:t>
      </w:r>
    </w:p>
    <w:p w:rsidR="002427BD" w:rsidRDefault="002427BD" w:rsidP="002427BD">
      <w:pPr>
        <w:autoSpaceDE w:val="0"/>
        <w:ind w:left="709" w:firstLine="11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минимальная доля озелененной территории земельных участков устанавливается в соответствии со статьей 45.7 настоящих Правил;</w:t>
      </w:r>
    </w:p>
    <w:p w:rsidR="002427BD" w:rsidRDefault="002427BD" w:rsidP="002427BD">
      <w:pPr>
        <w:autoSpaceDE w:val="0"/>
        <w:ind w:left="709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минимальное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>-мест для хранения индивидуального автотран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порта на территории земельных участков устанавливается в соответствии со 45.9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стоящих Правил;</w:t>
      </w:r>
    </w:p>
    <w:p w:rsidR="002427BD" w:rsidRDefault="002427BD" w:rsidP="002427BD">
      <w:pPr>
        <w:autoSpaceDE w:val="0"/>
        <w:ind w:left="709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минимальное количество мест на погрузочно-разгрузочных площадках на террит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рии земельных участков устанавливается в соответствии со 45.10 настоящих Правил;</w:t>
      </w:r>
    </w:p>
    <w:p w:rsidR="002427BD" w:rsidRDefault="002427BD" w:rsidP="002427BD">
      <w:pPr>
        <w:autoSpaceDE w:val="0"/>
        <w:ind w:left="709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минимальное количество мест для хранения (технологического отстоя) грузового автотранспорта на территории земельных участков устанавливается в соответствии со статьей 45.11 настоящих Правил;</w:t>
      </w:r>
    </w:p>
    <w:p w:rsidR="002427BD" w:rsidRDefault="002427BD">
      <w:bookmarkStart w:id="0" w:name="_GoBack"/>
      <w:bookmarkEnd w:id="0"/>
    </w:p>
    <w:sectPr w:rsidR="002427BD" w:rsidSect="00A86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auto"/>
    <w:pitch w:val="default"/>
  </w:font>
  <w:font w:name="TimesNewRomanPS-ItalicMT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D9"/>
    <w:rsid w:val="002427BD"/>
    <w:rsid w:val="00417174"/>
    <w:rsid w:val="00A867D9"/>
    <w:rsid w:val="00B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691A-7FDF-4AB2-99BF-0236249F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2427BD"/>
    <w:pPr>
      <w:spacing w:before="60" w:after="120" w:line="240" w:lineRule="auto"/>
      <w:jc w:val="both"/>
      <w:outlineLvl w:val="9"/>
    </w:pPr>
    <w:rPr>
      <w:rFonts w:ascii="Arial" w:eastAsia="Times New Roman" w:hAnsi="Arial" w:cs="Arial"/>
      <w:b/>
      <w:iCs/>
      <w:color w:val="auto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7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Мадорская Марина Наумовна</dc:creator>
  <cp:keywords/>
  <dc:description/>
  <cp:lastModifiedBy>Мадорская Марина Наумовна</cp:lastModifiedBy>
  <cp:revision>2</cp:revision>
  <dcterms:created xsi:type="dcterms:W3CDTF">2021-10-19T08:43:00Z</dcterms:created>
  <dcterms:modified xsi:type="dcterms:W3CDTF">2021-10-19T09:08:00Z</dcterms:modified>
</cp:coreProperties>
</file>