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DD699E">
        <w:rPr>
          <w:sz w:val="28"/>
          <w:szCs w:val="28"/>
        </w:rPr>
        <w:t>147181</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DD699E">
        <w:rPr>
          <w:rFonts w:ascii="Times New Roman" w:hAnsi="Times New Roman" w:cs="Times New Roman"/>
          <w:sz w:val="28"/>
          <w:szCs w:val="28"/>
        </w:rPr>
        <w:t>28.11.2022 09:00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E600A4" w:rsidRDefault="00DD699E" w:rsidP="00281FE0">
            <w:pPr>
              <w:ind w:firstLine="290"/>
              <w:jc w:val="both"/>
              <w:rPr>
                <w:sz w:val="28"/>
                <w:szCs w:val="28"/>
                <w:lang w:val="en-US"/>
              </w:rPr>
            </w:pPr>
            <w:r>
              <w:rPr>
                <w:sz w:val="28"/>
                <w:szCs w:val="28"/>
                <w:lang w:val="en-US"/>
              </w:rPr>
              <w:t>Общество с ограниченной ответственностью " ГК ГЛОБАЛ ПАК"</w:t>
            </w:r>
            <w:r w:rsidR="00D342DA" w:rsidRPr="00E600A4">
              <w:rPr>
                <w:sz w:val="28"/>
                <w:szCs w:val="28"/>
                <w:lang w:val="en-US"/>
              </w:rPr>
              <w:t xml:space="preserve">, </w:t>
            </w:r>
          </w:p>
          <w:p w:rsidR="00D342DA" w:rsidRPr="001D2D62" w:rsidRDefault="00DD699E" w:rsidP="00281FE0">
            <w:pPr>
              <w:ind w:firstLine="290"/>
              <w:jc w:val="both"/>
              <w:rPr>
                <w:sz w:val="28"/>
                <w:szCs w:val="28"/>
                <w:lang w:val="en-US"/>
              </w:rPr>
            </w:pPr>
            <w:r>
              <w:rPr>
                <w:sz w:val="28"/>
                <w:szCs w:val="28"/>
                <w:lang w:val="en-US"/>
              </w:rPr>
              <w:t>630007, Новосибирская область, город Новосибирск, ул. Кривощековская, д. 15, корп.2, оф. 8</w:t>
            </w:r>
            <w:r w:rsidR="00D342DA" w:rsidRPr="001D2D62">
              <w:rPr>
                <w:sz w:val="28"/>
                <w:szCs w:val="28"/>
                <w:lang w:val="en-US"/>
              </w:rPr>
              <w:t xml:space="preserve">, </w:t>
            </w:r>
            <w:r w:rsidR="00D342DA" w:rsidRPr="00C63829">
              <w:rPr>
                <w:sz w:val="28"/>
                <w:szCs w:val="28"/>
                <w:lang w:val="en-US"/>
              </w:rPr>
              <w:t>ОГРН</w:t>
            </w:r>
            <w:r w:rsidR="00D342DA" w:rsidRPr="001D2D62">
              <w:rPr>
                <w:sz w:val="28"/>
                <w:szCs w:val="28"/>
                <w:lang w:val="en-US"/>
              </w:rPr>
              <w:t xml:space="preserve"> </w:t>
            </w:r>
            <w:r>
              <w:rPr>
                <w:sz w:val="28"/>
                <w:szCs w:val="28"/>
                <w:lang w:val="en-US"/>
              </w:rPr>
              <w:t>1165476146626</w:t>
            </w:r>
            <w:r w:rsidR="00D342DA" w:rsidRPr="001D2D62">
              <w:rPr>
                <w:sz w:val="28"/>
                <w:szCs w:val="28"/>
                <w:lang w:val="en-US"/>
              </w:rPr>
              <w:t xml:space="preserve">, </w:t>
            </w:r>
            <w:r w:rsidR="00D342DA" w:rsidRPr="00C63829">
              <w:rPr>
                <w:sz w:val="28"/>
                <w:szCs w:val="28"/>
                <w:lang w:val="en-US"/>
              </w:rPr>
              <w:t>ИНН</w:t>
            </w:r>
            <w:r w:rsidR="00D342DA" w:rsidRPr="001D2D62">
              <w:rPr>
                <w:sz w:val="28"/>
                <w:szCs w:val="28"/>
                <w:lang w:val="en-US"/>
              </w:rPr>
              <w:t xml:space="preserve"> </w:t>
            </w:r>
            <w:r>
              <w:rPr>
                <w:sz w:val="28"/>
                <w:szCs w:val="28"/>
                <w:lang w:val="en-US"/>
              </w:rPr>
              <w:t>5405982851</w:t>
            </w:r>
            <w:r w:rsidR="00D342DA" w:rsidRPr="001D2D62">
              <w:rPr>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color w:val="000000"/>
                <w:sz w:val="28"/>
                <w:szCs w:val="28"/>
                <w:lang w:val="en-US"/>
              </w:rPr>
            </w:pPr>
          </w:p>
        </w:tc>
      </w:tr>
      <w:tr w:rsidR="00D342DA" w:rsidRPr="00E600A4"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w:t>
            </w:r>
            <w:proofErr w:type="gramStart"/>
            <w:r w:rsidRPr="001718BC">
              <w:rPr>
                <w:rFonts w:ascii="Times New Roman" w:hAnsi="Times New Roman" w:cs="Times New Roman"/>
                <w:sz w:val="28"/>
                <w:szCs w:val="28"/>
              </w:rPr>
              <w:t>отношении</w:t>
            </w:r>
            <w:proofErr w:type="gramEnd"/>
            <w:r w:rsidRPr="001718BC">
              <w:rPr>
                <w:rFonts w:ascii="Times New Roman" w:hAnsi="Times New Roman" w:cs="Times New Roman"/>
                <w:sz w:val="28"/>
                <w:szCs w:val="28"/>
              </w:rPr>
              <w:t xml:space="preserve">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DD699E" w:rsidRDefault="00DD699E"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Ратьков Евгений Павлович</w:t>
            </w:r>
          </w:p>
          <w:p w:rsidR="00D342DA" w:rsidRPr="00E600A4" w:rsidRDefault="00DD699E"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НП ПАУ ЦФО (Некоммерческое партнерство "Саморегулируемая организация арбитражных управляющих Центрального федерального округа")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1D2D62" w:rsidRDefault="00DD699E" w:rsidP="00281FE0">
            <w:pPr>
              <w:ind w:firstLine="290"/>
              <w:jc w:val="both"/>
              <w:rPr>
                <w:sz w:val="28"/>
                <w:szCs w:val="28"/>
                <w:lang w:val="en-US"/>
              </w:rPr>
            </w:pPr>
            <w:r>
              <w:rPr>
                <w:sz w:val="28"/>
                <w:szCs w:val="28"/>
                <w:lang w:val="en-US"/>
              </w:rPr>
              <w:t>Арбитражный суд Новосибирской области</w:t>
            </w:r>
            <w:r w:rsidR="00D342DA" w:rsidRPr="001D2D62">
              <w:rPr>
                <w:sz w:val="28"/>
                <w:szCs w:val="28"/>
                <w:lang w:val="en-US"/>
              </w:rPr>
              <w:t xml:space="preserve">, </w:t>
            </w:r>
            <w:r w:rsidR="00D342DA" w:rsidRPr="00C63829">
              <w:rPr>
                <w:sz w:val="28"/>
                <w:szCs w:val="28"/>
                <w:lang w:val="en-US"/>
              </w:rPr>
              <w:t>дело</w:t>
            </w:r>
            <w:r w:rsidR="00D342DA" w:rsidRPr="001D2D62">
              <w:rPr>
                <w:sz w:val="28"/>
                <w:szCs w:val="28"/>
                <w:lang w:val="en-US"/>
              </w:rPr>
              <w:t xml:space="preserve"> </w:t>
            </w:r>
            <w:r w:rsidR="00D342DA" w:rsidRPr="00C63829">
              <w:rPr>
                <w:sz w:val="28"/>
                <w:szCs w:val="28"/>
                <w:lang w:val="en-US"/>
              </w:rPr>
              <w:t>о</w:t>
            </w:r>
            <w:r w:rsidR="00D342DA" w:rsidRPr="001D2D62">
              <w:rPr>
                <w:sz w:val="28"/>
                <w:szCs w:val="28"/>
                <w:lang w:val="en-US"/>
              </w:rPr>
              <w:t xml:space="preserve"> </w:t>
            </w:r>
            <w:r w:rsidR="00D342DA" w:rsidRPr="00C63829">
              <w:rPr>
                <w:sz w:val="28"/>
                <w:szCs w:val="28"/>
                <w:lang w:val="en-US"/>
              </w:rPr>
              <w:t>банкротстве</w:t>
            </w:r>
            <w:r w:rsidR="00D342DA" w:rsidRPr="001D2D62">
              <w:rPr>
                <w:sz w:val="28"/>
                <w:szCs w:val="28"/>
                <w:lang w:val="en-US"/>
              </w:rPr>
              <w:t xml:space="preserve"> </w:t>
            </w:r>
            <w:r>
              <w:rPr>
                <w:sz w:val="28"/>
                <w:szCs w:val="28"/>
                <w:lang w:val="en-US"/>
              </w:rPr>
              <w:t>А45-5632/2021</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1D2D62" w:rsidRDefault="00DD699E"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Арбитражный суд Новосибирской области</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Решение</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от</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18.10.2021</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г</w:t>
            </w:r>
            <w:r w:rsidR="00D342DA" w:rsidRPr="001D2D62">
              <w:rPr>
                <w:rFonts w:ascii="Times New Roman" w:hAnsi="Times New Roman" w:cs="Times New Roman"/>
                <w:color w:val="000000"/>
                <w:sz w:val="28"/>
                <w:szCs w:val="28"/>
                <w:lang w:val="en-US"/>
              </w:rPr>
              <w:t>.</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DD699E" w:rsidRDefault="00DD699E"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 Резальная машина Schneider Senator 92 MCV, ФРГ, 1989 г.;</w:t>
            </w:r>
          </w:p>
          <w:p w:rsidR="00DD699E" w:rsidRDefault="00DD699E"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 Рулонный ламинатор KDFM-900, Китай, 2009 г.;</w:t>
            </w:r>
          </w:p>
          <w:p w:rsidR="00D342DA" w:rsidRPr="001D2D62" w:rsidRDefault="00DD699E" w:rsidP="00281FE0">
            <w:pPr>
              <w:pStyle w:val="ConsPlusNormal"/>
              <w:ind w:firstLine="290"/>
              <w:jc w:val="both"/>
              <w:outlineLvl w:val="1"/>
              <w:rPr>
                <w:sz w:val="28"/>
                <w:szCs w:val="28"/>
              </w:rPr>
            </w:pPr>
            <w:r>
              <w:rPr>
                <w:rFonts w:ascii="Times New Roman" w:hAnsi="Times New Roman" w:cs="Times New Roman"/>
                <w:color w:val="000000"/>
                <w:sz w:val="28"/>
                <w:szCs w:val="28"/>
              </w:rPr>
              <w:t>Лот 8: Цифровая печатная машина Ikon/Konica Minolta С6500//СРР650, Китай, 2008 г</w:t>
            </w:r>
            <w:proofErr w:type="gramStart"/>
            <w:r>
              <w:rPr>
                <w:rFonts w:ascii="Times New Roman" w:hAnsi="Times New Roman" w:cs="Times New Roman"/>
                <w:color w:val="000000"/>
                <w:sz w:val="28"/>
                <w:szCs w:val="28"/>
              </w:rPr>
              <w:t>..</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DD699E"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w:t>
            </w:r>
            <w:proofErr w:type="gramStart"/>
            <w:r w:rsidRPr="001D2D62">
              <w:rPr>
                <w:rFonts w:ascii="Times New Roman" w:hAnsi="Times New Roman" w:cs="Times New Roman"/>
                <w:sz w:val="28"/>
                <w:szCs w:val="28"/>
              </w:rPr>
              <w:t>случае</w:t>
            </w:r>
            <w:proofErr w:type="gramEnd"/>
            <w:r w:rsidRPr="001D2D62">
              <w:rPr>
                <w:rFonts w:ascii="Times New Roman" w:hAnsi="Times New Roman" w:cs="Times New Roman"/>
                <w:sz w:val="28"/>
                <w:szCs w:val="28"/>
              </w:rPr>
              <w:t xml:space="preserve"> проведения открытых торгов в форме </w:t>
            </w:r>
            <w:r w:rsidRPr="001D2D62">
              <w:rPr>
                <w:rFonts w:ascii="Times New Roman" w:hAnsi="Times New Roman" w:cs="Times New Roman"/>
                <w:sz w:val="28"/>
                <w:szCs w:val="28"/>
              </w:rPr>
              <w:lastRenderedPageBreak/>
              <w:t xml:space="preserve">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lastRenderedPageBreak/>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w:t>
            </w:r>
            <w:proofErr w:type="gramStart"/>
            <w:r w:rsidRPr="001D2D62">
              <w:rPr>
                <w:sz w:val="28"/>
                <w:szCs w:val="28"/>
              </w:rPr>
              <w:t>торгах</w:t>
            </w:r>
            <w:proofErr w:type="gramEnd"/>
            <w:r w:rsidRPr="001D2D62">
              <w:rPr>
                <w:sz w:val="28"/>
                <w:szCs w:val="28"/>
              </w:rPr>
              <w:t xml:space="preserve"> осуществляется по адресу: http://lot-online.ru  с </w:t>
            </w:r>
            <w:r w:rsidR="00DD699E">
              <w:rPr>
                <w:sz w:val="28"/>
                <w:szCs w:val="28"/>
              </w:rPr>
              <w:t>21.10.2022</w:t>
            </w:r>
            <w:r w:rsidRPr="001D2D62">
              <w:rPr>
                <w:sz w:val="28"/>
                <w:szCs w:val="28"/>
              </w:rPr>
              <w:t xml:space="preserve"> г. и заканчивается </w:t>
            </w:r>
            <w:r w:rsidR="00DD699E">
              <w:rPr>
                <w:sz w:val="28"/>
                <w:szCs w:val="28"/>
              </w:rPr>
              <w:t>25.11.2022 г. в 00:00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и) порядок оформления участия в </w:t>
            </w:r>
            <w:proofErr w:type="gramStart"/>
            <w:r w:rsidRPr="001D2D62">
              <w:rPr>
                <w:rFonts w:ascii="Times New Roman" w:hAnsi="Times New Roman" w:cs="Times New Roman"/>
                <w:sz w:val="28"/>
                <w:szCs w:val="28"/>
              </w:rPr>
              <w:t>торгах</w:t>
            </w:r>
            <w:proofErr w:type="gramEnd"/>
            <w:r w:rsidRPr="001D2D62">
              <w:rPr>
                <w:rFonts w:ascii="Times New Roman" w:hAnsi="Times New Roman" w:cs="Times New Roman"/>
                <w:sz w:val="28"/>
                <w:szCs w:val="28"/>
              </w:rPr>
              <w:t>,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DD699E" w:rsidP="00281FE0">
            <w:pPr>
              <w:autoSpaceDE w:val="0"/>
              <w:autoSpaceDN w:val="0"/>
              <w:adjustRightInd w:val="0"/>
              <w:ind w:firstLine="290"/>
              <w:jc w:val="both"/>
              <w:outlineLvl w:val="0"/>
              <w:rPr>
                <w:sz w:val="28"/>
                <w:szCs w:val="28"/>
              </w:rPr>
            </w:pPr>
            <w:r>
              <w:rPr>
                <w:bCs/>
                <w:sz w:val="28"/>
                <w:szCs w:val="28"/>
              </w:rPr>
              <w:t xml:space="preserve">Для участия в открытых </w:t>
            </w:r>
            <w:proofErr w:type="gramStart"/>
            <w:r>
              <w:rPr>
                <w:bCs/>
                <w:sz w:val="28"/>
                <w:szCs w:val="28"/>
              </w:rPr>
              <w:t>торгах</w:t>
            </w:r>
            <w:proofErr w:type="gramEnd"/>
            <w:r>
              <w:rPr>
                <w:bCs/>
                <w:sz w:val="28"/>
                <w:szCs w:val="28"/>
              </w:rPr>
              <w:t xml:space="preserve"> заявитель представляет оператору электронной торговой площадки заявку на участие в открытых торгах. Заявки для участия в </w:t>
            </w:r>
            <w:proofErr w:type="gramStart"/>
            <w:r>
              <w:rPr>
                <w:bCs/>
                <w:sz w:val="28"/>
                <w:szCs w:val="28"/>
              </w:rPr>
              <w:t>торгах</w:t>
            </w:r>
            <w:proofErr w:type="gramEnd"/>
            <w:r>
              <w:rPr>
                <w:bCs/>
                <w:sz w:val="28"/>
                <w:szCs w:val="28"/>
              </w:rPr>
              <w:t xml:space="preserve"> принимаются с 9 ч.00 мин. 24.10.2022 г. до 18 ч. 00 мин. 25.11.2022 г. на ЭТП. </w:t>
            </w:r>
            <w:proofErr w:type="gramStart"/>
            <w:r>
              <w:rPr>
                <w:bCs/>
                <w:sz w:val="28"/>
                <w:szCs w:val="28"/>
              </w:rPr>
              <w:t>Заявка на участие в торгах оформляется произвольно в письменной форме на русском языке и должна содержать указанные в сообщении о проведении торгов следующие сведения:- наименование, организационно-правовую форму,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w:t>
            </w:r>
            <w:proofErr w:type="gramEnd"/>
            <w:r>
              <w:rPr>
                <w:bCs/>
                <w:sz w:val="28"/>
                <w:szCs w:val="28"/>
              </w:rPr>
              <w:t xml:space="preserve"> 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в саморегулируемой организации арбитражных управляющих, членом или руководителем которой является </w:t>
            </w:r>
            <w:proofErr w:type="gramStart"/>
            <w:r>
              <w:rPr>
                <w:bCs/>
                <w:sz w:val="28"/>
                <w:szCs w:val="28"/>
              </w:rPr>
              <w:lastRenderedPageBreak/>
              <w:t>конкурсный</w:t>
            </w:r>
            <w:proofErr w:type="gramEnd"/>
            <w:r>
              <w:rPr>
                <w:bCs/>
                <w:sz w:val="28"/>
                <w:szCs w:val="28"/>
              </w:rPr>
              <w:t xml:space="preserve"> управляющий. Заявка на участие в </w:t>
            </w:r>
            <w:proofErr w:type="gramStart"/>
            <w:r>
              <w:rPr>
                <w:bCs/>
                <w:sz w:val="28"/>
                <w:szCs w:val="28"/>
              </w:rPr>
              <w:t>торгах</w:t>
            </w:r>
            <w:proofErr w:type="gramEnd"/>
            <w:r>
              <w:rPr>
                <w:bCs/>
                <w:sz w:val="28"/>
                <w:szCs w:val="28"/>
              </w:rPr>
              <w:t xml:space="preserve"> направляется с помощью программно-аппаратных средств сайта электронной площадки, на которой проводятся торги, в форме электронного сообщения, подписанного квалифицированной электронной подписью заявителя. </w:t>
            </w:r>
            <w:proofErr w:type="gramStart"/>
            <w:r>
              <w:rPr>
                <w:bCs/>
                <w:sz w:val="28"/>
                <w:szCs w:val="28"/>
              </w:rPr>
              <w:t>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w:t>
            </w:r>
            <w:proofErr w:type="gramEnd"/>
            <w:r>
              <w:rPr>
                <w:bCs/>
                <w:sz w:val="28"/>
                <w:szCs w:val="28"/>
              </w:rPr>
              <w:t xml:space="preserve"> соответствии с законодательством соответствующего государства (для иностранного лица); документ, подтверждающий полномочия лица </w:t>
            </w:r>
            <w:proofErr w:type="gramStart"/>
            <w:r>
              <w:rPr>
                <w:bCs/>
                <w:sz w:val="28"/>
                <w:szCs w:val="28"/>
              </w:rPr>
              <w:t>на</w:t>
            </w:r>
            <w:proofErr w:type="gramEnd"/>
            <w:r>
              <w:rPr>
                <w:bCs/>
                <w:sz w:val="28"/>
                <w:szCs w:val="28"/>
              </w:rPr>
              <w:t xml:space="preserve"> о</w:t>
            </w:r>
            <w:r w:rsidR="00D342DA" w:rsidRPr="001D2D62">
              <w:rPr>
                <w:sz w:val="28"/>
                <w:szCs w:val="28"/>
              </w:rPr>
              <w:t xml:space="preserve"> </w:t>
            </w:r>
          </w:p>
        </w:tc>
      </w:tr>
      <w:tr w:rsidR="00D342DA" w:rsidRPr="0000026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DD699E"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DD699E" w:rsidRDefault="00DD699E"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 68 670.00 руб.</w:t>
            </w:r>
          </w:p>
          <w:p w:rsidR="00DD699E" w:rsidRDefault="00DD699E"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 10 260.00 руб.</w:t>
            </w:r>
          </w:p>
          <w:p w:rsidR="00DD699E" w:rsidRDefault="00DD699E"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 19 800.00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000264" w:rsidRDefault="00DD699E" w:rsidP="00281FE0">
            <w:pPr>
              <w:pStyle w:val="ConsPlusNormal"/>
              <w:ind w:firstLine="290"/>
              <w:jc w:val="both"/>
              <w:outlineLvl w:val="1"/>
              <w:rPr>
                <w:rFonts w:ascii="Times New Roman" w:hAnsi="Times New Roman" w:cs="Times New Roman"/>
                <w:bCs/>
                <w:color w:val="000000"/>
                <w:sz w:val="28"/>
                <w:szCs w:val="28"/>
              </w:rPr>
            </w:pPr>
            <w:r w:rsidRPr="00000264">
              <w:rPr>
                <w:rFonts w:ascii="Times New Roman" w:hAnsi="Times New Roman" w:cs="Times New Roman"/>
                <w:bCs/>
                <w:color w:val="000000"/>
                <w:sz w:val="28"/>
                <w:szCs w:val="28"/>
              </w:rPr>
              <w:t xml:space="preserve">Размер задатка 10% от начальной цены продажи. Задаток вносится не позднее даты окончания срока приема заявок на участие в </w:t>
            </w:r>
            <w:proofErr w:type="gramStart"/>
            <w:r w:rsidRPr="00000264">
              <w:rPr>
                <w:rFonts w:ascii="Times New Roman" w:hAnsi="Times New Roman" w:cs="Times New Roman"/>
                <w:bCs/>
                <w:color w:val="000000"/>
                <w:sz w:val="28"/>
                <w:szCs w:val="28"/>
              </w:rPr>
              <w:t>торгах</w:t>
            </w:r>
            <w:proofErr w:type="gramEnd"/>
            <w:r w:rsidRPr="00000264">
              <w:rPr>
                <w:rFonts w:ascii="Times New Roman" w:hAnsi="Times New Roman" w:cs="Times New Roman"/>
                <w:bCs/>
                <w:color w:val="000000"/>
                <w:sz w:val="28"/>
                <w:szCs w:val="28"/>
              </w:rPr>
              <w:t xml:space="preserve">, способом обеспечивающим зачисление денежных средств на счёт должника к моменту окончания приёма заявок. Суммы внесенных заявителями задатков возвращаются всем заявителям, за исключением победителя торгов, в течение пяти рабочих дней со дня </w:t>
            </w:r>
            <w:r w:rsidRPr="00000264">
              <w:rPr>
                <w:rFonts w:ascii="Times New Roman" w:hAnsi="Times New Roman" w:cs="Times New Roman"/>
                <w:bCs/>
                <w:color w:val="000000"/>
                <w:sz w:val="28"/>
                <w:szCs w:val="28"/>
              </w:rPr>
              <w:lastRenderedPageBreak/>
              <w:t>подписания протокола о результатах проведения торгов</w:t>
            </w:r>
            <w:proofErr w:type="gramStart"/>
            <w:r w:rsidRPr="00000264">
              <w:rPr>
                <w:rFonts w:ascii="Times New Roman" w:hAnsi="Times New Roman" w:cs="Times New Roman"/>
                <w:bCs/>
                <w:color w:val="000000"/>
                <w:sz w:val="28"/>
                <w:szCs w:val="28"/>
              </w:rPr>
              <w:t>.</w:t>
            </w:r>
            <w:r w:rsidR="00D342DA" w:rsidRPr="00000264">
              <w:rPr>
                <w:rFonts w:ascii="Times New Roman" w:hAnsi="Times New Roman" w:cs="Times New Roman"/>
                <w:bCs/>
                <w:color w:val="000000"/>
                <w:sz w:val="28"/>
                <w:szCs w:val="28"/>
              </w:rPr>
              <w:t>.</w:t>
            </w:r>
            <w:proofErr w:type="gramEnd"/>
          </w:p>
          <w:p w:rsidR="00D342DA" w:rsidRPr="00000264" w:rsidRDefault="00DD699E" w:rsidP="00281FE0">
            <w:pPr>
              <w:pStyle w:val="ConsTitle"/>
              <w:widowControl/>
              <w:ind w:firstLine="290"/>
              <w:jc w:val="both"/>
              <w:rPr>
                <w:rFonts w:ascii="Times New Roman" w:hAnsi="Times New Roman"/>
                <w:b w:val="0"/>
                <w:bCs/>
                <w:snapToGrid/>
                <w:color w:val="000000"/>
                <w:sz w:val="28"/>
                <w:szCs w:val="28"/>
              </w:rPr>
            </w:pPr>
            <w:r w:rsidRPr="00000264">
              <w:rPr>
                <w:rFonts w:ascii="Times New Roman" w:hAnsi="Times New Roman"/>
                <w:b w:val="0"/>
                <w:bCs/>
                <w:snapToGrid/>
                <w:color w:val="000000"/>
                <w:sz w:val="28"/>
                <w:szCs w:val="28"/>
              </w:rPr>
              <w:t xml:space="preserve">Получатель ООО "ГК ГЛОБАЛ ПАК", сп./сч: 40702.810.4.29000010090 в КОСТРОМСКОЕ ОТДЕЛЕНИЕ </w:t>
            </w:r>
            <w:r>
              <w:rPr>
                <w:rFonts w:ascii="Times New Roman" w:hAnsi="Times New Roman"/>
                <w:b w:val="0"/>
                <w:bCs/>
                <w:snapToGrid/>
                <w:color w:val="000000"/>
                <w:sz w:val="28"/>
                <w:szCs w:val="28"/>
                <w:lang w:val="en-US"/>
              </w:rPr>
              <w:t>N</w:t>
            </w:r>
            <w:r w:rsidRPr="00000264">
              <w:rPr>
                <w:rFonts w:ascii="Times New Roman" w:hAnsi="Times New Roman"/>
                <w:b w:val="0"/>
                <w:bCs/>
                <w:snapToGrid/>
                <w:color w:val="000000"/>
                <w:sz w:val="28"/>
                <w:szCs w:val="28"/>
              </w:rPr>
              <w:t xml:space="preserve"> 8640 ПАО СБЕРБАНК, к\с: 30101.810.2.00000000623, БИК 043469623.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DD699E" w:rsidRPr="00000264" w:rsidRDefault="00DD699E" w:rsidP="00281FE0">
            <w:pPr>
              <w:pStyle w:val="ConsPlusNormal"/>
              <w:ind w:firstLine="290"/>
              <w:jc w:val="both"/>
              <w:outlineLvl w:val="1"/>
              <w:rPr>
                <w:rFonts w:ascii="Times New Roman" w:hAnsi="Times New Roman" w:cs="Times New Roman"/>
                <w:sz w:val="28"/>
                <w:szCs w:val="28"/>
              </w:rPr>
            </w:pPr>
            <w:r w:rsidRPr="00000264">
              <w:rPr>
                <w:rFonts w:ascii="Times New Roman" w:hAnsi="Times New Roman" w:cs="Times New Roman"/>
                <w:sz w:val="28"/>
                <w:szCs w:val="28"/>
              </w:rPr>
              <w:t>Лот 4: 686 700.00 руб.</w:t>
            </w:r>
          </w:p>
          <w:p w:rsidR="00DD699E" w:rsidRPr="00000264" w:rsidRDefault="00DD699E" w:rsidP="00281FE0">
            <w:pPr>
              <w:pStyle w:val="ConsPlusNormal"/>
              <w:ind w:firstLine="290"/>
              <w:jc w:val="both"/>
              <w:outlineLvl w:val="1"/>
              <w:rPr>
                <w:rFonts w:ascii="Times New Roman" w:hAnsi="Times New Roman" w:cs="Times New Roman"/>
                <w:sz w:val="28"/>
                <w:szCs w:val="28"/>
              </w:rPr>
            </w:pPr>
            <w:r w:rsidRPr="00000264">
              <w:rPr>
                <w:rFonts w:ascii="Times New Roman" w:hAnsi="Times New Roman" w:cs="Times New Roman"/>
                <w:sz w:val="28"/>
                <w:szCs w:val="28"/>
              </w:rPr>
              <w:t>Лот 7: 102 600.00 руб.</w:t>
            </w:r>
          </w:p>
          <w:p w:rsidR="00DD699E" w:rsidRPr="00000264" w:rsidRDefault="00DD699E" w:rsidP="00281FE0">
            <w:pPr>
              <w:pStyle w:val="ConsPlusNormal"/>
              <w:ind w:firstLine="290"/>
              <w:jc w:val="both"/>
              <w:outlineLvl w:val="1"/>
              <w:rPr>
                <w:rFonts w:ascii="Times New Roman" w:hAnsi="Times New Roman" w:cs="Times New Roman"/>
                <w:sz w:val="28"/>
                <w:szCs w:val="28"/>
              </w:rPr>
            </w:pPr>
            <w:r w:rsidRPr="00000264">
              <w:rPr>
                <w:rFonts w:ascii="Times New Roman" w:hAnsi="Times New Roman" w:cs="Times New Roman"/>
                <w:sz w:val="28"/>
                <w:szCs w:val="28"/>
              </w:rPr>
              <w:t>Лот 8: 198 000.00 руб.</w:t>
            </w:r>
          </w:p>
          <w:p w:rsidR="00D342DA" w:rsidRPr="00000264" w:rsidRDefault="00D342DA" w:rsidP="00281FE0">
            <w:pPr>
              <w:pStyle w:val="ConsPlusNormal"/>
              <w:ind w:firstLine="290"/>
              <w:jc w:val="both"/>
              <w:outlineLvl w:val="1"/>
              <w:rPr>
                <w:rFonts w:ascii="Times New Roman" w:hAnsi="Times New Roman" w:cs="Times New Roman"/>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м) величина повышения начальной цены продажи имущества (предприятия) должника ("шаг аукциона") в </w:t>
            </w:r>
            <w:proofErr w:type="gramStart"/>
            <w:r w:rsidRPr="001D2D62">
              <w:rPr>
                <w:rFonts w:ascii="Times New Roman" w:hAnsi="Times New Roman" w:cs="Times New Roman"/>
                <w:sz w:val="28"/>
                <w:szCs w:val="28"/>
              </w:rPr>
              <w:t>случае</w:t>
            </w:r>
            <w:proofErr w:type="gramEnd"/>
            <w:r w:rsidRPr="001D2D62">
              <w:rPr>
                <w:rFonts w:ascii="Times New Roman" w:hAnsi="Times New Roman" w:cs="Times New Roman"/>
                <w:sz w:val="28"/>
                <w:szCs w:val="28"/>
              </w:rPr>
              <w:t xml:space="preserve">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DD699E" w:rsidRDefault="00DD699E" w:rsidP="00281FE0">
            <w:pPr>
              <w:ind w:firstLine="290"/>
              <w:jc w:val="both"/>
              <w:rPr>
                <w:color w:val="auto"/>
                <w:sz w:val="28"/>
                <w:szCs w:val="28"/>
              </w:rPr>
            </w:pPr>
            <w:r>
              <w:rPr>
                <w:color w:val="auto"/>
                <w:sz w:val="28"/>
                <w:szCs w:val="28"/>
              </w:rPr>
              <w:t xml:space="preserve"> Лот 4: 34 335.00 руб.</w:t>
            </w:r>
          </w:p>
          <w:p w:rsidR="00DD699E" w:rsidRDefault="00DD699E" w:rsidP="00281FE0">
            <w:pPr>
              <w:ind w:firstLine="290"/>
              <w:jc w:val="both"/>
              <w:rPr>
                <w:color w:val="auto"/>
                <w:sz w:val="28"/>
                <w:szCs w:val="28"/>
              </w:rPr>
            </w:pPr>
            <w:r>
              <w:rPr>
                <w:color w:val="auto"/>
                <w:sz w:val="28"/>
                <w:szCs w:val="28"/>
              </w:rPr>
              <w:t>Лот 7: 5 130.00 руб.</w:t>
            </w:r>
          </w:p>
          <w:p w:rsidR="00DD699E" w:rsidRDefault="00DD699E" w:rsidP="00281FE0">
            <w:pPr>
              <w:ind w:firstLine="290"/>
              <w:jc w:val="both"/>
              <w:rPr>
                <w:color w:val="auto"/>
                <w:sz w:val="28"/>
                <w:szCs w:val="28"/>
              </w:rPr>
            </w:pPr>
            <w:r>
              <w:rPr>
                <w:color w:val="auto"/>
                <w:sz w:val="28"/>
                <w:szCs w:val="28"/>
              </w:rPr>
              <w:t>Лот 8: 9 900.00 руб.</w:t>
            </w:r>
          </w:p>
          <w:p w:rsidR="00D342DA" w:rsidRPr="00000264" w:rsidRDefault="00D342DA" w:rsidP="00281FE0">
            <w:pPr>
              <w:ind w:firstLine="290"/>
              <w:jc w:val="both"/>
              <w:rPr>
                <w:color w:val="FF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000264" w:rsidRDefault="00DD699E" w:rsidP="00281FE0">
            <w:pPr>
              <w:ind w:firstLine="290"/>
              <w:jc w:val="both"/>
              <w:rPr>
                <w:sz w:val="28"/>
                <w:szCs w:val="28"/>
              </w:rPr>
            </w:pPr>
            <w:r>
              <w:rPr>
                <w:color w:val="auto"/>
                <w:sz w:val="28"/>
                <w:szCs w:val="28"/>
              </w:rPr>
              <w:t>Победителем торгов признается участник торгов, предложивший наиболее высокую цену.</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DD699E" w:rsidP="00281FE0">
            <w:pPr>
              <w:ind w:firstLine="290"/>
              <w:jc w:val="both"/>
              <w:rPr>
                <w:sz w:val="28"/>
                <w:szCs w:val="28"/>
              </w:rPr>
            </w:pPr>
            <w:r>
              <w:rPr>
                <w:color w:val="auto"/>
                <w:sz w:val="28"/>
                <w:szCs w:val="28"/>
              </w:rPr>
              <w:t>Результаты торгов будут подведены не позднее 18:00 28.11.2022 г. на электронной площадке.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DD699E" w:rsidP="00281FE0">
            <w:pPr>
              <w:ind w:firstLine="290"/>
              <w:jc w:val="both"/>
              <w:rPr>
                <w:sz w:val="28"/>
                <w:szCs w:val="28"/>
              </w:rPr>
            </w:pPr>
            <w:r>
              <w:rPr>
                <w:color w:val="auto"/>
                <w:sz w:val="28"/>
                <w:szCs w:val="28"/>
              </w:rPr>
              <w:t xml:space="preserve">В течение пяти дней с даты утверждения протокола о результатах проведения торгов,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имущества. Договор купли-продажи имущества должен быть заключен в течение пяти дней с даты получения победителем торгов предложения о заключении данного договора. </w:t>
            </w:r>
            <w:proofErr w:type="gramStart"/>
            <w:r>
              <w:rPr>
                <w:color w:val="auto"/>
                <w:sz w:val="28"/>
                <w:szCs w:val="28"/>
              </w:rPr>
              <w:t xml:space="preserve">В случае отказа или уклонения победителя торгов от подписания договора купли-продажи имущества в течение пяти дней со дня </w:t>
            </w:r>
            <w:r>
              <w:rPr>
                <w:color w:val="auto"/>
                <w:sz w:val="28"/>
                <w:szCs w:val="28"/>
              </w:rPr>
              <w:lastRenderedPageBreak/>
              <w:t>получения предложения конкурсного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по сравнению с ценой, предложенной другими участниками торгов, за исключением победителя торгов.</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р) сроки платежей, реквизиты счетов, на которые вносятся платежи;</w:t>
            </w:r>
          </w:p>
        </w:tc>
        <w:tc>
          <w:tcPr>
            <w:tcW w:w="5103" w:type="dxa"/>
            <w:shd w:val="clear" w:color="auto" w:fill="auto"/>
          </w:tcPr>
          <w:p w:rsidR="00D342DA" w:rsidRPr="00000264" w:rsidRDefault="00DD699E" w:rsidP="00281FE0">
            <w:pPr>
              <w:ind w:firstLine="290"/>
              <w:jc w:val="both"/>
              <w:rPr>
                <w:sz w:val="28"/>
                <w:szCs w:val="28"/>
              </w:rPr>
            </w:pPr>
            <w:r>
              <w:rPr>
                <w:color w:val="auto"/>
                <w:sz w:val="28"/>
                <w:szCs w:val="28"/>
              </w:rPr>
              <w:t>Победитель торгов перечисляет денежные средства в оплату приобретенного имущества в течение тридцати дней со дня подписания договора купли-продажи имущества.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000264">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000264">
              <w:rPr>
                <w:rFonts w:ascii="Times New Roman" w:hAnsi="Times New Roman" w:cs="Times New Roman"/>
                <w:color w:val="000000"/>
                <w:sz w:val="28"/>
                <w:szCs w:val="28"/>
              </w:rPr>
              <w:t xml:space="preserve"> – </w:t>
            </w:r>
            <w:r w:rsidR="00DD699E" w:rsidRPr="00000264">
              <w:rPr>
                <w:rFonts w:ascii="Times New Roman" w:hAnsi="Times New Roman" w:cs="Times New Roman"/>
                <w:color w:val="000000"/>
                <w:sz w:val="28"/>
                <w:szCs w:val="28"/>
              </w:rPr>
              <w:t>Ратьков Евгений Павлович</w:t>
            </w:r>
            <w:r w:rsidRPr="00000264">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000264">
              <w:rPr>
                <w:rFonts w:ascii="Times New Roman" w:hAnsi="Times New Roman" w:cs="Times New Roman"/>
                <w:color w:val="000000"/>
                <w:sz w:val="28"/>
                <w:szCs w:val="28"/>
              </w:rPr>
              <w:t xml:space="preserve"> </w:t>
            </w:r>
            <w:r w:rsidR="00DD699E" w:rsidRPr="00000264">
              <w:rPr>
                <w:rFonts w:ascii="Times New Roman" w:hAnsi="Times New Roman" w:cs="Times New Roman"/>
                <w:color w:val="000000"/>
                <w:sz w:val="28"/>
                <w:szCs w:val="28"/>
              </w:rPr>
              <w:t>440100024019</w:t>
            </w:r>
            <w:r w:rsidRPr="00000264">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000264">
              <w:rPr>
                <w:rFonts w:ascii="Times New Roman" w:hAnsi="Times New Roman" w:cs="Times New Roman"/>
                <w:color w:val="000000"/>
                <w:sz w:val="28"/>
                <w:szCs w:val="28"/>
              </w:rPr>
              <w:t xml:space="preserve"> ,</w:t>
            </w:r>
            <w:proofErr w:type="gramEnd"/>
            <w:r w:rsidRPr="00000264">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000264">
              <w:rPr>
                <w:rFonts w:ascii="Times New Roman" w:hAnsi="Times New Roman" w:cs="Times New Roman"/>
                <w:color w:val="000000"/>
                <w:sz w:val="28"/>
                <w:szCs w:val="28"/>
              </w:rPr>
              <w:t xml:space="preserve">: </w:t>
            </w:r>
            <w:r w:rsidR="00DD699E" w:rsidRPr="00000264">
              <w:rPr>
                <w:rFonts w:ascii="Times New Roman" w:hAnsi="Times New Roman" w:cs="Times New Roman"/>
                <w:color w:val="000000"/>
                <w:sz w:val="28"/>
                <w:szCs w:val="28"/>
              </w:rPr>
              <w:t xml:space="preserve">г. Кострома, ул. </w:t>
            </w:r>
            <w:r w:rsidR="00DD699E">
              <w:rPr>
                <w:rFonts w:ascii="Times New Roman" w:hAnsi="Times New Roman" w:cs="Times New Roman"/>
                <w:color w:val="000000"/>
                <w:sz w:val="28"/>
                <w:szCs w:val="28"/>
                <w:lang w:val="en-US"/>
              </w:rPr>
              <w:t>Холмовая, д. 19, кв. 1</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DD699E">
              <w:rPr>
                <w:rFonts w:ascii="Times New Roman" w:hAnsi="Times New Roman" w:cs="Times New Roman"/>
                <w:color w:val="000000"/>
                <w:sz w:val="28"/>
                <w:szCs w:val="28"/>
                <w:lang w:val="en-US"/>
              </w:rPr>
              <w:t>8 910 660 34 41</w:t>
            </w:r>
            <w:r w:rsidRPr="0069630E">
              <w:rPr>
                <w:rFonts w:ascii="Times New Roman" w:hAnsi="Times New Roman" w:cs="Times New Roman"/>
                <w:color w:val="000000"/>
                <w:sz w:val="28"/>
                <w:szCs w:val="28"/>
                <w:lang w:val="en-US"/>
              </w:rPr>
              <w:t xml:space="preserve">, e-mail: </w:t>
            </w:r>
            <w:hyperlink r:id="rId5" w:history="1">
              <w:r w:rsidR="00DD699E">
                <w:rPr>
                  <w:rFonts w:ascii="Times New Roman" w:hAnsi="Times New Roman" w:cs="Times New Roman"/>
                  <w:color w:val="000000"/>
                  <w:sz w:val="28"/>
                  <w:szCs w:val="28"/>
                  <w:lang w:val="en-US"/>
                </w:rPr>
                <w:t>ratkow@mail.ru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DD699E"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22.10.2022</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2838CD"/>
    <w:rsid w:val="00000264"/>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DD699E"/>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1280</Words>
  <Characters>7300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8563</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Ратьков</cp:lastModifiedBy>
  <cp:revision>2</cp:revision>
  <cp:lastPrinted>2010-11-10T14:05:00Z</cp:lastPrinted>
  <dcterms:created xsi:type="dcterms:W3CDTF">2022-10-20T08:44:00Z</dcterms:created>
  <dcterms:modified xsi:type="dcterms:W3CDTF">2022-10-20T08:44:00Z</dcterms:modified>
</cp:coreProperties>
</file>