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3" w:rsidRDefault="00B20129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173623" w:rsidRDefault="00B20129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173623" w:rsidRDefault="00B20129">
      <w:pPr>
        <w:spacing w:after="0" w:line="280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173623" w:rsidRDefault="00B20129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4102D">
        <w:rPr>
          <w:b/>
        </w:rPr>
        <w:t>26</w:t>
      </w:r>
      <w:r>
        <w:rPr>
          <w:b/>
        </w:rPr>
        <w:t xml:space="preserve"> </w:t>
      </w:r>
      <w:proofErr w:type="gramStart"/>
      <w:r>
        <w:rPr>
          <w:b/>
        </w:rPr>
        <w:t>декабря  2022</w:t>
      </w:r>
      <w:proofErr w:type="gramEnd"/>
      <w:r>
        <w:rPr>
          <w:b/>
        </w:rPr>
        <w:t xml:space="preserve"> г. с 11:00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173623" w:rsidRDefault="006E2F9D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14102D">
        <w:rPr>
          <w:b/>
        </w:rPr>
        <w:t>16</w:t>
      </w:r>
      <w:r>
        <w:rPr>
          <w:b/>
        </w:rPr>
        <w:t xml:space="preserve"> ноября 2022 г. по </w:t>
      </w:r>
      <w:r w:rsidR="0014102D">
        <w:rPr>
          <w:b/>
        </w:rPr>
        <w:t>22</w:t>
      </w:r>
      <w:r w:rsidR="00B20129">
        <w:rPr>
          <w:b/>
        </w:rPr>
        <w:t xml:space="preserve"> декабря 2022 г. до 14:00:00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</w:t>
      </w:r>
      <w:r w:rsidR="006E2F9D">
        <w:rPr>
          <w:b/>
        </w:rPr>
        <w:t xml:space="preserve">ектронной площадки не позднее </w:t>
      </w:r>
      <w:r w:rsidR="0014102D">
        <w:rPr>
          <w:b/>
        </w:rPr>
        <w:t>22</w:t>
      </w:r>
      <w:r>
        <w:rPr>
          <w:b/>
        </w:rPr>
        <w:t xml:space="preserve"> декабря 2022 г. 14:00. Определение участников эл</w:t>
      </w:r>
      <w:r w:rsidR="006E2F9D">
        <w:rPr>
          <w:b/>
        </w:rPr>
        <w:t xml:space="preserve">ектронного аукциона состоится </w:t>
      </w:r>
      <w:r w:rsidR="0014102D">
        <w:rPr>
          <w:b/>
        </w:rPr>
        <w:t>23</w:t>
      </w:r>
      <w:r>
        <w:rPr>
          <w:b/>
        </w:rPr>
        <w:t xml:space="preserve"> декабря 2022 г. в 11:00. </w:t>
      </w:r>
    </w:p>
    <w:p w:rsidR="00173623" w:rsidRDefault="00B20129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173623" w:rsidRDefault="00B20129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173623" w:rsidRDefault="00B20129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173623" w:rsidRDefault="00B20129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173623" w:rsidRDefault="00B20129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173623" w:rsidRDefault="00B20129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173623" w:rsidRDefault="00B20129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14102D" w:rsidRPr="0014102D" w:rsidRDefault="0014102D" w:rsidP="0014102D">
      <w:pPr>
        <w:spacing w:line="268" w:lineRule="auto"/>
        <w:ind w:left="-15" w:right="60" w:firstLine="375"/>
        <w:rPr>
          <w:color w:val="auto"/>
          <w:szCs w:val="24"/>
        </w:rPr>
      </w:pPr>
      <w:r w:rsidRPr="0014102D">
        <w:rPr>
          <w:color w:val="auto"/>
          <w:szCs w:val="24"/>
        </w:rPr>
        <w:t>1.</w:t>
      </w:r>
      <w:r w:rsidRPr="0014102D">
        <w:rPr>
          <w:color w:val="auto"/>
          <w:szCs w:val="24"/>
        </w:rPr>
        <w:tab/>
        <w:t>Земельный участок, кадастровый номер 74:14:0303004:3, расположенный по адресу: Ленинградская область, Ломоносовский район, МО «</w:t>
      </w:r>
      <w:proofErr w:type="spellStart"/>
      <w:r w:rsidRPr="0014102D">
        <w:rPr>
          <w:color w:val="auto"/>
          <w:szCs w:val="24"/>
        </w:rPr>
        <w:t>Низинское</w:t>
      </w:r>
      <w:proofErr w:type="spellEnd"/>
      <w:r w:rsidRPr="0014102D">
        <w:rPr>
          <w:color w:val="auto"/>
          <w:szCs w:val="24"/>
        </w:rPr>
        <w:t xml:space="preserve"> сельское поселение», </w:t>
      </w:r>
      <w:proofErr w:type="spellStart"/>
      <w:r w:rsidRPr="0014102D">
        <w:rPr>
          <w:color w:val="auto"/>
          <w:szCs w:val="24"/>
        </w:rPr>
        <w:t>д.Низино</w:t>
      </w:r>
      <w:proofErr w:type="spellEnd"/>
      <w:r w:rsidRPr="0014102D">
        <w:rPr>
          <w:color w:val="auto"/>
          <w:szCs w:val="24"/>
        </w:rPr>
        <w:t xml:space="preserve">, площадь:822 </w:t>
      </w:r>
      <w:proofErr w:type="spellStart"/>
      <w:proofErr w:type="gram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>. .</w:t>
      </w:r>
      <w:proofErr w:type="gramEnd"/>
    </w:p>
    <w:p w:rsidR="0014102D" w:rsidRPr="0014102D" w:rsidRDefault="0014102D" w:rsidP="0014102D">
      <w:pPr>
        <w:spacing w:line="268" w:lineRule="auto"/>
        <w:ind w:left="-15" w:right="60" w:firstLine="375"/>
        <w:rPr>
          <w:color w:val="auto"/>
          <w:szCs w:val="24"/>
        </w:rPr>
      </w:pPr>
      <w:r w:rsidRPr="0014102D">
        <w:rPr>
          <w:color w:val="auto"/>
          <w:szCs w:val="24"/>
        </w:rPr>
        <w:t xml:space="preserve">Ограничения (обременения): Сервитут, публичный сервитут на земельные участки площадью: 23 </w:t>
      </w:r>
      <w:proofErr w:type="spell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 xml:space="preserve">.-зона воздушных линий электропередач, 40 </w:t>
      </w:r>
      <w:proofErr w:type="spell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 xml:space="preserve">.-охранная зона воздушной линии связи, 20 </w:t>
      </w:r>
      <w:proofErr w:type="spell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>.-охранная зона водопровода</w:t>
      </w:r>
    </w:p>
    <w:p w:rsidR="0014102D" w:rsidRPr="0014102D" w:rsidRDefault="0014102D" w:rsidP="0014102D">
      <w:pPr>
        <w:spacing w:line="268" w:lineRule="auto"/>
        <w:ind w:left="-15" w:right="60" w:firstLine="375"/>
        <w:rPr>
          <w:color w:val="auto"/>
          <w:szCs w:val="24"/>
        </w:rPr>
      </w:pPr>
      <w:r w:rsidRPr="0014102D">
        <w:rPr>
          <w:color w:val="auto"/>
          <w:szCs w:val="24"/>
        </w:rPr>
        <w:t>2.</w:t>
      </w:r>
      <w:r w:rsidRPr="0014102D">
        <w:rPr>
          <w:color w:val="auto"/>
          <w:szCs w:val="24"/>
        </w:rPr>
        <w:tab/>
        <w:t xml:space="preserve">Нежилое здание, кадастровый номер: 47:14:0303001:726, расположенное по адресу: Ленинградская область, Ломоносовский район, </w:t>
      </w:r>
      <w:proofErr w:type="spellStart"/>
      <w:r w:rsidRPr="0014102D">
        <w:rPr>
          <w:color w:val="auto"/>
          <w:szCs w:val="24"/>
        </w:rPr>
        <w:t>д.Низино</w:t>
      </w:r>
      <w:proofErr w:type="spellEnd"/>
      <w:r w:rsidRPr="0014102D">
        <w:rPr>
          <w:color w:val="auto"/>
          <w:szCs w:val="24"/>
        </w:rPr>
        <w:t xml:space="preserve">, наименование: гостиница с кафе, общая площадь: 479,9 </w:t>
      </w:r>
      <w:proofErr w:type="spell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>., количество этажей: 3</w:t>
      </w:r>
    </w:p>
    <w:p w:rsidR="0014102D" w:rsidRDefault="0014102D" w:rsidP="0014102D">
      <w:pPr>
        <w:spacing w:line="268" w:lineRule="auto"/>
        <w:ind w:left="-15" w:right="60" w:firstLine="375"/>
        <w:rPr>
          <w:color w:val="auto"/>
          <w:szCs w:val="24"/>
        </w:rPr>
      </w:pPr>
      <w:r w:rsidRPr="0014102D">
        <w:rPr>
          <w:color w:val="auto"/>
          <w:szCs w:val="24"/>
        </w:rPr>
        <w:t>Ограничения (обременения</w:t>
      </w:r>
      <w:proofErr w:type="gramStart"/>
      <w:r w:rsidRPr="0014102D">
        <w:rPr>
          <w:color w:val="auto"/>
          <w:szCs w:val="24"/>
        </w:rPr>
        <w:t>):аренда</w:t>
      </w:r>
      <w:proofErr w:type="gramEnd"/>
      <w:r w:rsidRPr="0014102D">
        <w:rPr>
          <w:color w:val="auto"/>
          <w:szCs w:val="24"/>
        </w:rPr>
        <w:t xml:space="preserve">, помещение на первом этаже, площадью 58,1 </w:t>
      </w:r>
      <w:proofErr w:type="spell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 xml:space="preserve">., нежилое помещение на первом этаже площадью 91,5 </w:t>
      </w:r>
      <w:proofErr w:type="spellStart"/>
      <w:r w:rsidRPr="0014102D">
        <w:rPr>
          <w:color w:val="auto"/>
          <w:szCs w:val="24"/>
        </w:rPr>
        <w:t>кв.м</w:t>
      </w:r>
      <w:proofErr w:type="spellEnd"/>
      <w:r w:rsidRPr="0014102D">
        <w:rPr>
          <w:color w:val="auto"/>
          <w:szCs w:val="24"/>
        </w:rPr>
        <w:t>. в здании гостиницы с кафе, с условным номером 47-78-21/056/2008-145, дата регистрации 06.12.2011,лицо, в пользу которого установлено ограничение ООО «Грин Отель».</w:t>
      </w:r>
    </w:p>
    <w:p w:rsidR="00173623" w:rsidRDefault="00B20129" w:rsidP="0014102D">
      <w:pPr>
        <w:spacing w:line="268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  <w:r w:rsidR="00BF19D1">
        <w:rPr>
          <w:b/>
          <w:szCs w:val="24"/>
        </w:rPr>
        <w:t>6</w:t>
      </w:r>
      <w:r w:rsidR="00AF5DE0" w:rsidRPr="00AF5DE0">
        <w:rPr>
          <w:b/>
          <w:szCs w:val="24"/>
        </w:rPr>
        <w:t>8 000 000 (</w:t>
      </w:r>
      <w:r w:rsidR="00BF19D1">
        <w:rPr>
          <w:b/>
          <w:szCs w:val="24"/>
        </w:rPr>
        <w:t>шестьдесят восемь</w:t>
      </w:r>
      <w:r w:rsidR="00AF5DE0" w:rsidRPr="00AF5DE0">
        <w:rPr>
          <w:b/>
          <w:szCs w:val="24"/>
        </w:rPr>
        <w:t xml:space="preserve"> миллионов) </w:t>
      </w:r>
      <w:r>
        <w:rPr>
          <w:b/>
          <w:szCs w:val="24"/>
        </w:rPr>
        <w:t xml:space="preserve">рублей;   </w:t>
      </w:r>
    </w:p>
    <w:p w:rsidR="00173623" w:rsidRDefault="00B20129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</w:t>
      </w:r>
      <w:r w:rsidR="00BF19D1">
        <w:rPr>
          <w:b/>
          <w:szCs w:val="24"/>
        </w:rPr>
        <w:t>2</w:t>
      </w:r>
      <w:r w:rsidR="00AF5DE0" w:rsidRPr="00AF5DE0">
        <w:rPr>
          <w:b/>
          <w:szCs w:val="24"/>
        </w:rPr>
        <w:t xml:space="preserve"> 000 000 (</w:t>
      </w:r>
      <w:r w:rsidR="00BF19D1">
        <w:rPr>
          <w:b/>
          <w:szCs w:val="24"/>
        </w:rPr>
        <w:t>два</w:t>
      </w:r>
      <w:r w:rsidR="00AF5DE0" w:rsidRPr="00AF5DE0">
        <w:rPr>
          <w:b/>
          <w:szCs w:val="24"/>
        </w:rPr>
        <w:t xml:space="preserve"> миллион</w:t>
      </w:r>
      <w:r w:rsidR="00BF19D1">
        <w:rPr>
          <w:b/>
          <w:szCs w:val="24"/>
        </w:rPr>
        <w:t>а</w:t>
      </w:r>
      <w:r w:rsidR="00AF5DE0" w:rsidRPr="00AF5DE0">
        <w:rPr>
          <w:b/>
          <w:szCs w:val="24"/>
        </w:rPr>
        <w:t xml:space="preserve">) </w:t>
      </w:r>
      <w:r>
        <w:rPr>
          <w:b/>
          <w:szCs w:val="24"/>
        </w:rPr>
        <w:t xml:space="preserve">рублей.   </w:t>
      </w:r>
    </w:p>
    <w:p w:rsidR="00173623" w:rsidRDefault="00B20129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</w:t>
      </w:r>
      <w:r w:rsidR="00AF5DE0" w:rsidRPr="00AF5DE0">
        <w:rPr>
          <w:b/>
          <w:szCs w:val="24"/>
        </w:rPr>
        <w:t>250 000 (Двести пятьдесят тысяч)</w:t>
      </w:r>
      <w:r w:rsidR="00AF5DE0">
        <w:rPr>
          <w:b/>
          <w:szCs w:val="24"/>
        </w:rPr>
        <w:t xml:space="preserve"> </w:t>
      </w:r>
      <w:r>
        <w:rPr>
          <w:b/>
          <w:szCs w:val="24"/>
        </w:rPr>
        <w:t xml:space="preserve">рублей. </w:t>
      </w:r>
    </w:p>
    <w:p w:rsidR="00173623" w:rsidRDefault="00B20129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73623" w:rsidRDefault="00173623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173623" w:rsidRDefault="00B20129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</w:t>
      </w:r>
      <w:r>
        <w:rPr>
          <w:szCs w:val="24"/>
        </w:rPr>
        <w:lastRenderedPageBreak/>
        <w:t xml:space="preserve">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173623" w:rsidRDefault="00B2012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173623" w:rsidRDefault="00B20129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173623" w:rsidRDefault="00B20129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173623" w:rsidRDefault="00B20129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173623" w:rsidRDefault="00B20129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73623" w:rsidRDefault="00B20129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173623" w:rsidRDefault="00B20129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173623" w:rsidRDefault="00B20129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Юридические лица: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lastRenderedPageBreak/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173623" w:rsidRDefault="00B20129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173623" w:rsidRDefault="00B20129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173623" w:rsidRDefault="00B20129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173623" w:rsidRDefault="00173623">
      <w:pPr>
        <w:spacing w:line="268" w:lineRule="auto"/>
        <w:ind w:left="0" w:right="60" w:firstLine="0"/>
        <w:rPr>
          <w:szCs w:val="24"/>
        </w:rPr>
      </w:pPr>
    </w:p>
    <w:p w:rsidR="00173623" w:rsidRDefault="00B20129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14102D">
        <w:rPr>
          <w:b/>
          <w:szCs w:val="24"/>
        </w:rPr>
        <w:t>22</w:t>
      </w:r>
      <w:bookmarkStart w:id="0" w:name="_GoBack"/>
      <w:bookmarkEnd w:id="0"/>
      <w:r>
        <w:rPr>
          <w:b/>
          <w:szCs w:val="24"/>
        </w:rPr>
        <w:t xml:space="preserve"> декабря 2022 г.</w:t>
      </w:r>
      <w:r>
        <w:rPr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173623" w:rsidRDefault="00B20129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173623" w:rsidRDefault="00B20129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173623" w:rsidRDefault="00B20129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173623" w:rsidRDefault="00173623">
      <w:pPr>
        <w:spacing w:after="0" w:line="259" w:lineRule="auto"/>
        <w:ind w:left="708" w:right="60" w:firstLine="0"/>
        <w:jc w:val="left"/>
        <w:rPr>
          <w:szCs w:val="24"/>
        </w:rPr>
      </w:pPr>
    </w:p>
    <w:p w:rsidR="00173623" w:rsidRDefault="00B20129">
      <w:pPr>
        <w:spacing w:line="268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</w:t>
      </w:r>
      <w:r w:rsidR="00356328">
        <w:rPr>
          <w:szCs w:val="24"/>
        </w:rPr>
        <w:t xml:space="preserve">и соответствующего предложения по цене </w:t>
      </w:r>
      <w:r>
        <w:rPr>
          <w:szCs w:val="24"/>
        </w:rPr>
        <w:t>и фиксируется с точностью до 1 секунды.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173623" w:rsidRDefault="00B20129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173623" w:rsidRDefault="00B20129">
      <w:pPr>
        <w:spacing w:line="268" w:lineRule="auto"/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173623" w:rsidRDefault="00B20129">
      <w:pPr>
        <w:spacing w:line="268" w:lineRule="auto"/>
        <w:ind w:left="-15" w:right="60" w:firstLine="0"/>
        <w:rPr>
          <w:szCs w:val="24"/>
        </w:rPr>
      </w:pP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5 (пять)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:rsidR="00173623" w:rsidRDefault="00B20129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</w:t>
      </w:r>
      <w:r>
        <w:rPr>
          <w:szCs w:val="24"/>
        </w:rPr>
        <w:lastRenderedPageBreak/>
        <w:t xml:space="preserve">аукциона, явиться по адресу: </w:t>
      </w:r>
      <w:r>
        <w:t>Санкт-Петербург, 16-я линия В.О., д.7, пом. литера А, пом. 1-Н комната 1402/1</w:t>
      </w:r>
      <w:r>
        <w:rPr>
          <w:szCs w:val="24"/>
        </w:rPr>
        <w:t xml:space="preserve"> </w:t>
      </w:r>
    </w:p>
    <w:p w:rsidR="00173623" w:rsidRDefault="00B20129">
      <w:pPr>
        <w:ind w:left="0" w:right="60" w:firstLine="0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цене, в течение </w:t>
      </w:r>
      <w:r>
        <w:rPr>
          <w:b/>
          <w:szCs w:val="24"/>
        </w:rPr>
        <w:t>5 (пять) рабочих дней</w:t>
      </w:r>
      <w:r>
        <w:rPr>
          <w:b/>
        </w:rPr>
        <w:t xml:space="preserve"> с даты признания аукциона несостоявшимся.</w:t>
      </w:r>
      <w:r>
        <w:t xml:space="preserve"> </w:t>
      </w:r>
    </w:p>
    <w:p w:rsidR="00173623" w:rsidRDefault="00B20129">
      <w:pPr>
        <w:ind w:left="-15" w:right="60" w:firstLine="0"/>
        <w:rPr>
          <w:bCs/>
          <w:szCs w:val="24"/>
        </w:rPr>
      </w:pPr>
      <w:r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73623" w:rsidRDefault="00B20129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+7 931 398 14 86, 8-800-777-57-57, доб.713. </w:t>
      </w:r>
    </w:p>
    <w:p w:rsidR="00173623" w:rsidRDefault="00B20129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173623" w:rsidRDefault="00173623">
      <w:pPr>
        <w:ind w:left="567" w:right="60" w:firstLine="0"/>
        <w:rPr>
          <w:szCs w:val="24"/>
        </w:rPr>
      </w:pPr>
    </w:p>
    <w:p w:rsidR="00173623" w:rsidRDefault="00B20129">
      <w:pPr>
        <w:pStyle w:val="af3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173623" w:rsidRDefault="00173623">
      <w:pPr>
        <w:spacing w:after="0" w:line="259" w:lineRule="auto"/>
        <w:ind w:left="567" w:right="60" w:firstLine="0"/>
        <w:jc w:val="left"/>
        <w:rPr>
          <w:szCs w:val="24"/>
        </w:rPr>
      </w:pPr>
    </w:p>
    <w:p w:rsidR="00173623" w:rsidRDefault="00B20129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173623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2F7"/>
    <w:multiLevelType w:val="multilevel"/>
    <w:tmpl w:val="E86655D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754265"/>
    <w:multiLevelType w:val="multilevel"/>
    <w:tmpl w:val="ACBAE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813E77"/>
    <w:multiLevelType w:val="multilevel"/>
    <w:tmpl w:val="3AC4D7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46E77E4"/>
    <w:multiLevelType w:val="multilevel"/>
    <w:tmpl w:val="755EFD3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A875877"/>
    <w:multiLevelType w:val="multilevel"/>
    <w:tmpl w:val="06D4473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3"/>
    <w:rsid w:val="0014102D"/>
    <w:rsid w:val="00173623"/>
    <w:rsid w:val="00356328"/>
    <w:rsid w:val="006E2F9D"/>
    <w:rsid w:val="00AF5DE0"/>
    <w:rsid w:val="00B20129"/>
    <w:rsid w:val="00B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D9F8-94C7-4763-B348-F737A4B1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3A35-D3EA-4FF6-880C-BD13214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2022-11-16T11:02:00Z</dcterms:created>
  <dcterms:modified xsi:type="dcterms:W3CDTF">2022-11-16T11:02:00Z</dcterms:modified>
  <dc:language>ru-RU</dc:language>
</cp:coreProperties>
</file>