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43F661C8" w:rsidR="0004186C" w:rsidRPr="00B141BB" w:rsidRDefault="00F733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733B8">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w:t>
      </w:r>
      <w:r w:rsidR="00B61813">
        <w:rPr>
          <w:rFonts w:ascii="Times New Roman" w:hAnsi="Times New Roman" w:cs="Times New Roman"/>
          <w:color w:val="000000"/>
          <w:sz w:val="24"/>
          <w:szCs w:val="24"/>
        </w:rPr>
        <w:t xml:space="preserve"> </w:t>
      </w:r>
      <w:r w:rsidRPr="00F733B8">
        <w:rPr>
          <w:rFonts w:ascii="Times New Roman" w:hAnsi="Times New Roman" w:cs="Times New Roman"/>
          <w:color w:val="000000"/>
          <w:sz w:val="24"/>
          <w:szCs w:val="24"/>
        </w:rPr>
        <w:t xml:space="preserve">В, (812)334-26-04, 8(800) 777-57-57, </w:t>
      </w:r>
      <w:r w:rsidR="00BF04FA" w:rsidRPr="00BF04FA">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коммерческим Банком «Спурт» (публичное акционерное общество) (АКБ «Спурт» (ПАО), адрес регистрации: 420107, Республика Татарстан, г. Казань, ул. Спартаковская, д.2, ИНН 1653017026, ОГРН 1021600000421) (далее – финансовая организация), конкурсным управляющим (ликвидатором) которого на основании решения Арбитражного суда Республики Татарстан от 04 октября 2017 г. по делу № А65-25939/2017 является государственная корпорация «Агентство по страхованию вкладов» (109240, г. Москва, ул. Высоцкого, д. 4</w:t>
      </w:r>
      <w:r w:rsidRPr="00F733B8">
        <w:rPr>
          <w:rFonts w:ascii="Times New Roman" w:hAnsi="Times New Roman" w:cs="Times New Roman"/>
          <w:color w:val="000000"/>
          <w:sz w:val="24"/>
          <w:szCs w:val="24"/>
        </w:rPr>
        <w:t xml:space="preserve">) (далее – КУ), </w:t>
      </w:r>
      <w:r w:rsidR="00CF5F6F" w:rsidRPr="00B141BB">
        <w:rPr>
          <w:rFonts w:ascii="Times New Roman" w:hAnsi="Times New Roman" w:cs="Times New Roman"/>
          <w:color w:val="000000"/>
          <w:sz w:val="24"/>
          <w:szCs w:val="24"/>
        </w:rPr>
        <w:t xml:space="preserve"> 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3FAC8B0B" w:rsidR="00651D54" w:rsidRDefault="00651D54"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Предметом Торгов ППП является следующее имущество:</w:t>
      </w:r>
    </w:p>
    <w:p w14:paraId="595EEC1A" w14:textId="14747ACB" w:rsidR="00BF04FA" w:rsidRDefault="00BF04FA"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1 - </w:t>
      </w:r>
      <w:r w:rsidRPr="00BF04FA">
        <w:rPr>
          <w:rFonts w:ascii="Times New Roman" w:hAnsi="Times New Roman" w:cs="Times New Roman"/>
          <w:color w:val="000000"/>
          <w:sz w:val="24"/>
          <w:szCs w:val="24"/>
        </w:rPr>
        <w:t>LADA KALINA, белый, 2011, 230 378 км, 1.6 МТ (84,3 л. с.), бензин, передний, VIN XTA111930B0167729, не на ходу, царапины, вмятины по периметру, АКБ отсутствует, возможны скрытые повреждения, разбито заднее стекло, г. Набережные Челны, ограничения и обременения: запрет на регистрационные действия, принимаются меры по их снятию</w:t>
      </w:r>
      <w:r>
        <w:rPr>
          <w:rFonts w:ascii="Times New Roman" w:hAnsi="Times New Roman" w:cs="Times New Roman"/>
          <w:color w:val="000000"/>
          <w:sz w:val="24"/>
          <w:szCs w:val="24"/>
        </w:rPr>
        <w:t xml:space="preserve"> - </w:t>
      </w:r>
      <w:r w:rsidRPr="00BF04FA">
        <w:rPr>
          <w:rFonts w:ascii="Times New Roman" w:hAnsi="Times New Roman" w:cs="Times New Roman"/>
          <w:color w:val="000000"/>
          <w:sz w:val="24"/>
          <w:szCs w:val="24"/>
        </w:rPr>
        <w:t>88 740,00</w:t>
      </w:r>
      <w:r>
        <w:rPr>
          <w:rFonts w:ascii="Times New Roman" w:hAnsi="Times New Roman" w:cs="Times New Roman"/>
          <w:color w:val="000000"/>
          <w:sz w:val="24"/>
          <w:szCs w:val="24"/>
        </w:rPr>
        <w:t xml:space="preserve"> руб.;</w:t>
      </w:r>
    </w:p>
    <w:p w14:paraId="72FA22A4" w14:textId="53977711" w:rsidR="002845C8" w:rsidRPr="00BF04FA" w:rsidRDefault="002845C8" w:rsidP="00284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требования </w:t>
      </w:r>
      <w:r w:rsidRPr="00BF04FA">
        <w:rPr>
          <w:rFonts w:ascii="Times New Roman" w:hAnsi="Times New Roman" w:cs="Times New Roman"/>
          <w:color w:val="000000"/>
          <w:sz w:val="24"/>
          <w:szCs w:val="24"/>
        </w:rPr>
        <w:t>к юридическим лицам ((в скобках указана в т.ч. сумма долга) – начальная цена продажи лота):</w:t>
      </w:r>
    </w:p>
    <w:p w14:paraId="5B468494" w14:textId="68BA587C" w:rsidR="009E4671" w:rsidRDefault="00BF04FA" w:rsidP="00BF04F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2 - АО «Васильевский стекольный завод», ИНН 1648024300, определение АС Республики Татарстан от 08.05.2019 по делу А65-27007/2018 о включении в РТК третьей очереди, определение АС Республики Татарстан от 31.03.2021 по делу А65-27007/2018, определение АС Республики Татарстан от 05.05.2021 по делу А65-27007/2018, юридическое лицо признано несостоятельным (банкротом) и в отношении него открыто конкурсное производство (566 024 380,54 руб.)</w:t>
      </w:r>
      <w:r w:rsidR="009E4671">
        <w:t xml:space="preserve"> - </w:t>
      </w:r>
      <w:r w:rsidR="009E4671" w:rsidRPr="009E4671">
        <w:t>509 421 942,49</w:t>
      </w:r>
      <w:r w:rsidR="009E4671">
        <w:t xml:space="preserve"> руб.; </w:t>
      </w:r>
    </w:p>
    <w:p w14:paraId="239CD768" w14:textId="34683D8A" w:rsidR="00405C92" w:rsidRPr="00B141BB" w:rsidRDefault="00BF04FA" w:rsidP="009E467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t>Лот 3 - АО «Нефтегазстрой», ИНН 1608003448 (правопреемник ЗАО «ИХК «Татгазинвест», ИНН 1608003448), солидарно с Товариществом на вере «ТГИ-Капитал и компания», ИНН 1655368037, ООО «Оском», ИНН 1616018590, Сахаповым Рашитом Лукмановичем, Ганиевым Марселем Мансуровичем, КД 5190 от 05.11.2015, определение АС Республики Татарстан от 12.03.2018 по делу А65-12248/2017 о включении в РТК третьей очереди ЗАО «ИХК «Татгазинвест», решение Вахитовского районного суда г. Казани Республики Татарстан от 06.02.2019 по делу 2-370/2019, определение АС Республики Татарстан от 22.04.2019 по делу А65-30138/2018 о включении в РТК третьей очереди ООО «Оском», определение АС Республики Татарстан от 21.05.2021 по делу А65-27782/2020 о включении в РТК третьей очереди Ганиева М.М., определение АС Республики Татарстан от 03.06.2021 по делу А65-27779/2020 о включении в РТК третьей очереди Сахапова Р. Л., КД 6193 от 14.12.2016, решение Московского районного суда г. Казани Республики Татарстан от 21.06.2018 по делу 2-1396/2018, АО «Нефтегазстрой», ООО «Оском», Сахапов Р. Л., Ганиев М. М. находятся в процедуре банкротства (82 094 658,71 руб.)</w:t>
      </w:r>
      <w:r w:rsidR="009E4671">
        <w:t xml:space="preserve"> - </w:t>
      </w:r>
      <w:r w:rsidR="009E4671" w:rsidRPr="009E4671">
        <w:t>59 996 658,37</w:t>
      </w:r>
      <w:r w:rsidR="009E4671">
        <w:t xml:space="preserve"> руб.</w:t>
      </w:r>
    </w:p>
    <w:p w14:paraId="28E3E4A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B141BB">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5"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B141BB"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Торги ППП</w:t>
      </w:r>
      <w:r w:rsidRPr="00B141BB">
        <w:rPr>
          <w:color w:val="000000"/>
          <w:shd w:val="clear" w:color="auto" w:fill="FFFFFF"/>
        </w:rPr>
        <w:t xml:space="preserve"> будут проведены на </w:t>
      </w:r>
      <w:r w:rsidR="00651D54" w:rsidRPr="00B141BB">
        <w:rPr>
          <w:rFonts w:ascii="Times New Roman CYR" w:hAnsi="Times New Roman CYR" w:cs="Times New Roman CYR"/>
          <w:color w:val="000000"/>
        </w:rPr>
        <w:t xml:space="preserve">электронной площадке </w:t>
      </w:r>
      <w:r w:rsidR="00651D54" w:rsidRPr="00B141BB">
        <w:rPr>
          <w:color w:val="000000"/>
        </w:rPr>
        <w:t xml:space="preserve">АО «Российский аукционный дом» по адресу: </w:t>
      </w:r>
      <w:hyperlink r:id="rId6" w:history="1">
        <w:r w:rsidR="00651D54" w:rsidRPr="00B141BB">
          <w:rPr>
            <w:color w:val="000000"/>
            <w:u w:val="single"/>
          </w:rPr>
          <w:t>http://lot-online.ru</w:t>
        </w:r>
      </w:hyperlink>
      <w:r w:rsidR="00651D54" w:rsidRPr="00B141BB">
        <w:rPr>
          <w:color w:val="000000"/>
        </w:rPr>
        <w:t xml:space="preserve"> (далее – ЭТП)</w:t>
      </w:r>
      <w:r w:rsidR="0004186C" w:rsidRPr="00B141BB">
        <w:rPr>
          <w:color w:val="000000"/>
          <w:shd w:val="clear" w:color="auto" w:fill="FFFFFF"/>
        </w:rPr>
        <w:t>:</w:t>
      </w:r>
    </w:p>
    <w:p w14:paraId="7B9A8CCF" w14:textId="20D849AA"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sidR="009E4671">
        <w:rPr>
          <w:b/>
          <w:bCs/>
          <w:color w:val="000000"/>
        </w:rPr>
        <w:t xml:space="preserve">у </w:t>
      </w:r>
      <w:r w:rsidR="0033162B">
        <w:rPr>
          <w:b/>
          <w:bCs/>
          <w:color w:val="000000"/>
        </w:rPr>
        <w:t>3</w:t>
      </w:r>
      <w:r w:rsidRPr="00B141BB">
        <w:rPr>
          <w:b/>
          <w:bCs/>
          <w:color w:val="000000"/>
        </w:rPr>
        <w:t xml:space="preserve"> - с </w:t>
      </w:r>
      <w:r w:rsidR="009E4671">
        <w:rPr>
          <w:b/>
          <w:bCs/>
          <w:color w:val="000000"/>
        </w:rPr>
        <w:t>20 декабря 2022</w:t>
      </w:r>
      <w:r w:rsidRPr="00B141BB">
        <w:rPr>
          <w:b/>
          <w:bCs/>
          <w:color w:val="000000"/>
        </w:rPr>
        <w:t xml:space="preserve"> г. по</w:t>
      </w:r>
      <w:r w:rsidR="009E4671">
        <w:rPr>
          <w:b/>
          <w:bCs/>
          <w:color w:val="000000"/>
        </w:rPr>
        <w:t xml:space="preserve"> 27 февраля 2023 </w:t>
      </w:r>
      <w:r w:rsidRPr="00B141BB">
        <w:rPr>
          <w:b/>
          <w:bCs/>
          <w:color w:val="000000"/>
        </w:rPr>
        <w:t>г.;</w:t>
      </w:r>
    </w:p>
    <w:p w14:paraId="3E0EB00E" w14:textId="13EEA196"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sidR="00532CAB">
        <w:rPr>
          <w:b/>
          <w:bCs/>
          <w:color w:val="000000"/>
        </w:rPr>
        <w:t xml:space="preserve">у </w:t>
      </w:r>
      <w:r w:rsidR="0033162B">
        <w:rPr>
          <w:b/>
          <w:bCs/>
          <w:color w:val="000000"/>
        </w:rPr>
        <w:t>2</w:t>
      </w:r>
      <w:r w:rsidRPr="00B141BB">
        <w:rPr>
          <w:b/>
          <w:bCs/>
          <w:color w:val="000000"/>
        </w:rPr>
        <w:t xml:space="preserve"> - с </w:t>
      </w:r>
      <w:r w:rsidR="009E4671">
        <w:rPr>
          <w:b/>
          <w:bCs/>
          <w:color w:val="000000"/>
        </w:rPr>
        <w:t>20 декабря 2022</w:t>
      </w:r>
      <w:r w:rsidRPr="00B141BB">
        <w:rPr>
          <w:b/>
          <w:bCs/>
          <w:color w:val="000000"/>
        </w:rPr>
        <w:t xml:space="preserve"> г. по </w:t>
      </w:r>
      <w:r w:rsidR="009E4671">
        <w:rPr>
          <w:b/>
          <w:bCs/>
          <w:color w:val="000000"/>
        </w:rPr>
        <w:t xml:space="preserve">10 апреля 2023 </w:t>
      </w:r>
      <w:r w:rsidRPr="00B141BB">
        <w:rPr>
          <w:b/>
          <w:bCs/>
          <w:color w:val="000000"/>
        </w:rPr>
        <w:t>г.</w:t>
      </w:r>
      <w:r w:rsidR="00532CAB">
        <w:rPr>
          <w:b/>
          <w:bCs/>
          <w:color w:val="000000"/>
        </w:rPr>
        <w:t>;</w:t>
      </w:r>
    </w:p>
    <w:p w14:paraId="41B6F9E8" w14:textId="5FFC650D" w:rsidR="00532CAB" w:rsidRPr="00B141B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Pr>
          <w:b/>
          <w:bCs/>
          <w:color w:val="000000"/>
        </w:rPr>
        <w:t xml:space="preserve">у 1 </w:t>
      </w:r>
      <w:r w:rsidRPr="00B141BB">
        <w:rPr>
          <w:b/>
          <w:bCs/>
          <w:color w:val="000000"/>
        </w:rPr>
        <w:t xml:space="preserve">- с </w:t>
      </w:r>
      <w:r>
        <w:rPr>
          <w:b/>
          <w:bCs/>
          <w:color w:val="000000"/>
        </w:rPr>
        <w:t>20 декабря 2022</w:t>
      </w:r>
      <w:r w:rsidRPr="00B141BB">
        <w:rPr>
          <w:b/>
          <w:bCs/>
          <w:color w:val="000000"/>
        </w:rPr>
        <w:t xml:space="preserve"> г. по </w:t>
      </w:r>
      <w:r>
        <w:rPr>
          <w:b/>
          <w:bCs/>
          <w:color w:val="000000"/>
        </w:rPr>
        <w:t xml:space="preserve">17 апреля 2023 </w:t>
      </w:r>
      <w:r w:rsidRPr="00B141BB">
        <w:rPr>
          <w:b/>
          <w:bCs/>
          <w:color w:val="000000"/>
        </w:rPr>
        <w:t>г.</w:t>
      </w:r>
    </w:p>
    <w:p w14:paraId="7404B6B0" w14:textId="5484F043" w:rsidR="00220317" w:rsidRPr="00B141BB"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color w:val="000000"/>
        </w:rPr>
        <w:t>Оператор ЭТП (далее – Оператор) обеспечивает проведение Торгов.</w:t>
      </w:r>
    </w:p>
    <w:p w14:paraId="73E16243" w14:textId="2A01C668"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color w:val="000000"/>
        </w:rPr>
        <w:t xml:space="preserve">Заявки </w:t>
      </w:r>
      <w:r w:rsidRPr="00532CAB">
        <w:rPr>
          <w:color w:val="000000"/>
        </w:rPr>
        <w:t>на участие в Торгах ППП приним</w:t>
      </w:r>
      <w:r w:rsidR="00107714" w:rsidRPr="00532CAB">
        <w:rPr>
          <w:color w:val="000000"/>
        </w:rPr>
        <w:t>а</w:t>
      </w:r>
      <w:r w:rsidR="00B93A5E" w:rsidRPr="00532CAB">
        <w:rPr>
          <w:color w:val="000000"/>
        </w:rPr>
        <w:t>ются Оператором, начиная с 00:00</w:t>
      </w:r>
      <w:r w:rsidRPr="00532CAB">
        <w:rPr>
          <w:color w:val="000000"/>
        </w:rPr>
        <w:t xml:space="preserve"> часов по московскому времени </w:t>
      </w:r>
      <w:r w:rsidR="00532CAB" w:rsidRPr="00532CAB">
        <w:rPr>
          <w:b/>
          <w:bCs/>
          <w:color w:val="000000"/>
        </w:rPr>
        <w:t>20 декабря 2022</w:t>
      </w:r>
      <w:r w:rsidR="00532CAB" w:rsidRPr="00532CAB">
        <w:rPr>
          <w:color w:val="000000"/>
        </w:rPr>
        <w:t xml:space="preserve"> </w:t>
      </w:r>
      <w:r w:rsidR="008B5083" w:rsidRPr="00532CAB">
        <w:rPr>
          <w:b/>
          <w:bCs/>
          <w:color w:val="000000"/>
        </w:rPr>
        <w:t>г.</w:t>
      </w:r>
      <w:r w:rsidRPr="00532CAB">
        <w:rPr>
          <w:color w:val="000000"/>
        </w:rPr>
        <w:t xml:space="preserve"> Прием заявок на участие в Торгах ППП и задатков прекращается за 5 (Пять) календарных</w:t>
      </w:r>
      <w:r w:rsidRPr="00B141BB">
        <w:rPr>
          <w:color w:val="000000"/>
        </w:rPr>
        <w:t xml:space="preserve"> дней до даты окончания соответствующего периода понижения цены продажи лотов в 14:00 часов по московскому времени.</w:t>
      </w:r>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lastRenderedPageBreak/>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0F3190A4" w14:textId="6636261E"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532CAB">
        <w:rPr>
          <w:b/>
          <w:color w:val="000000"/>
        </w:rPr>
        <w:t>а 1</w:t>
      </w:r>
      <w:r w:rsidRPr="00B141BB">
        <w:rPr>
          <w:b/>
          <w:color w:val="000000"/>
        </w:rPr>
        <w:t>:</w:t>
      </w:r>
    </w:p>
    <w:p w14:paraId="22719FBF"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20 декабря 2022 г. по 06 февраля 2023 г. - в размере начальной цены продажи лота;</w:t>
      </w:r>
    </w:p>
    <w:p w14:paraId="7C0A36C1"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07 февраля 2023 г. по 13 февраля 2023 г. - в размере 90,20% от начальной цены продажи лота;</w:t>
      </w:r>
    </w:p>
    <w:p w14:paraId="2EE3782F"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14 февраля 2023 г. по 20 февраля 2023 г. - в размере 80,40% от начальной цены продажи лота;</w:t>
      </w:r>
    </w:p>
    <w:p w14:paraId="67867678"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21 февраля 2023 г. по 27 февраля 2023 г. - в размере 70,60% от начальной цены продажи лота;</w:t>
      </w:r>
    </w:p>
    <w:p w14:paraId="2C7BB9CE"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28 февраля 2023 г. по 06 марта 2023 г. - в размере 60,80% от начальной цены продажи лота;</w:t>
      </w:r>
    </w:p>
    <w:p w14:paraId="2193D001"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07 марта 2023 г. по 13 марта 2023 г. - в размере 51,00% от начальной цены продажи лота;</w:t>
      </w:r>
    </w:p>
    <w:p w14:paraId="3E9F8ABC"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14 марта 2023 г. по 20 марта 2023 г. - в размере 41,20% от начальной цены продажи лота;</w:t>
      </w:r>
    </w:p>
    <w:p w14:paraId="099A1602"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21 марта 2023 г. по 27 марта 2023 г. - в размере 31,40% от начальной цены продажи лота;</w:t>
      </w:r>
    </w:p>
    <w:p w14:paraId="774AF7AE"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28 марта 2023 г. по 03 апреля 2023 г. - в размере 21,60% от начальной цены продажи лота;</w:t>
      </w:r>
    </w:p>
    <w:p w14:paraId="120CCDD1"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04 апреля 2023 г. по 10 апреля 2023 г. - в размере 11,80% от начальной цены продажи лота;</w:t>
      </w:r>
    </w:p>
    <w:p w14:paraId="46612AC9" w14:textId="1EF1FBF1"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32CAB">
        <w:rPr>
          <w:bCs/>
          <w:color w:val="000000"/>
        </w:rPr>
        <w:t>с 11 апреля 2023 г. по 17 апреля 2023 г. - в размере 2,00% от начальной цены продажи лота</w:t>
      </w:r>
      <w:r>
        <w:rPr>
          <w:bCs/>
          <w:color w:val="000000"/>
        </w:rPr>
        <w:t>.</w:t>
      </w:r>
    </w:p>
    <w:p w14:paraId="66F82829" w14:textId="165A7FCB"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532CAB">
        <w:rPr>
          <w:b/>
          <w:color w:val="000000"/>
        </w:rPr>
        <w:t xml:space="preserve">а </w:t>
      </w:r>
      <w:r w:rsidR="0033162B">
        <w:rPr>
          <w:b/>
          <w:color w:val="000000"/>
        </w:rPr>
        <w:t>3</w:t>
      </w:r>
      <w:r w:rsidRPr="00B141BB">
        <w:rPr>
          <w:b/>
          <w:color w:val="000000"/>
        </w:rPr>
        <w:t>:</w:t>
      </w:r>
    </w:p>
    <w:p w14:paraId="439A2804"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20 декабря 2022 г. по 06 февраля 2023 г. - в размере начальной цены продажи лота;</w:t>
      </w:r>
    </w:p>
    <w:p w14:paraId="0BFDF9B9"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07 февраля 2023 г. по 13 февраля 2023 г. - в размере 93,40% от начальной цены продажи лота;</w:t>
      </w:r>
    </w:p>
    <w:p w14:paraId="2961E0A3"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14 февраля 2023 г. по 20 февраля 2023 г. - в размере 86,80% от начальной цены продажи лота;</w:t>
      </w:r>
    </w:p>
    <w:p w14:paraId="773DE0E3" w14:textId="6D10BF53" w:rsidR="00532CAB" w:rsidRPr="00B141BB" w:rsidRDefault="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32CAB">
        <w:rPr>
          <w:bCs/>
          <w:color w:val="000000"/>
        </w:rPr>
        <w:t>с 21 февраля 2023 г. по 27 февраля 2023 г. - в размере 80,20% от начальной цены продажи лота</w:t>
      </w:r>
      <w:r>
        <w:rPr>
          <w:bCs/>
          <w:color w:val="000000"/>
        </w:rPr>
        <w:t>.</w:t>
      </w:r>
    </w:p>
    <w:p w14:paraId="0230D461" w14:textId="7E9D5134"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532CAB">
        <w:rPr>
          <w:b/>
          <w:color w:val="000000"/>
        </w:rPr>
        <w:t xml:space="preserve">а </w:t>
      </w:r>
      <w:r w:rsidR="0033162B">
        <w:rPr>
          <w:b/>
          <w:color w:val="000000"/>
        </w:rPr>
        <w:t>2</w:t>
      </w:r>
      <w:r w:rsidRPr="00B141BB">
        <w:rPr>
          <w:b/>
          <w:color w:val="000000"/>
        </w:rPr>
        <w:t>:</w:t>
      </w:r>
    </w:p>
    <w:p w14:paraId="639BCF2E"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20 декабря 2022 г. по 06 февраля 2023 г. - в размере начальной цены продажи лота;</w:t>
      </w:r>
    </w:p>
    <w:p w14:paraId="6B681523"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07 февраля 2023 г. по 13 февраля 2023 г. - в размере 91,99% от начальной цены продажи лота;</w:t>
      </w:r>
    </w:p>
    <w:p w14:paraId="12FFE278"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14 февраля 2023 г. по 20 февраля 2023 г. - в размере 83,98% от начальной цены продажи лота;</w:t>
      </w:r>
    </w:p>
    <w:p w14:paraId="7D9FC7B8"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21 февраля 2023 г. по 27 февраля 2023 г. - в размере 75,97% от начальной цены продажи лота;</w:t>
      </w:r>
    </w:p>
    <w:p w14:paraId="75BDCB89"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28 февраля 2023 г. по 06 марта 2023 г. - в размере 67,96% от начальной цены продажи лота;</w:t>
      </w:r>
    </w:p>
    <w:p w14:paraId="0D3643FA"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07 марта 2023 г. по 13 марта 2023 г. - в размере 59,95% от начальной цены продажи лота;</w:t>
      </w:r>
    </w:p>
    <w:p w14:paraId="75DA9560"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14 марта 2023 г. по 20 марта 2023 г. - в размере 51,94% от начальной цены продажи лота;</w:t>
      </w:r>
    </w:p>
    <w:p w14:paraId="5DA16F9F"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lastRenderedPageBreak/>
        <w:t>с 21 марта 2023 г. по 27 марта 2023 г. - в размере 43,93% от начальной цены продажи лота;</w:t>
      </w:r>
    </w:p>
    <w:p w14:paraId="15440865" w14:textId="77777777" w:rsidR="00532CAB" w:rsidRPr="00532CAB"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32CAB">
        <w:rPr>
          <w:bCs/>
          <w:color w:val="000000"/>
        </w:rPr>
        <w:t>с 28 марта 2023 г. по 03 апреля 2023 г. - в размере 35,92% от начальной цены продажи лота;</w:t>
      </w:r>
    </w:p>
    <w:p w14:paraId="1907A43B" w14:textId="6F116B4A" w:rsidR="008B5083" w:rsidRDefault="00532CAB" w:rsidP="00532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32CAB">
        <w:rPr>
          <w:bCs/>
          <w:color w:val="000000"/>
        </w:rPr>
        <w:t>с 04 апреля 2023 г. по 10 апреля 2023 г. - в размере 27,</w:t>
      </w:r>
      <w:r w:rsidR="00357D36">
        <w:rPr>
          <w:bCs/>
          <w:color w:val="000000"/>
        </w:rPr>
        <w:t>83</w:t>
      </w:r>
      <w:r w:rsidRPr="00532CAB">
        <w:rPr>
          <w:bCs/>
          <w:color w:val="000000"/>
        </w:rPr>
        <w:t>% от начальной цены продажи лота</w:t>
      </w:r>
      <w:r>
        <w:rPr>
          <w:bCs/>
          <w:color w:val="000000"/>
        </w:rPr>
        <w:t>.</w:t>
      </w:r>
    </w:p>
    <w:p w14:paraId="0BB4DCEA" w14:textId="762232E6"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B141B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570FF90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B141B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B141BB">
        <w:rPr>
          <w:rFonts w:ascii="Times New Roman" w:hAnsi="Times New Roman" w:cs="Times New Roman"/>
          <w:color w:val="000000"/>
          <w:sz w:val="24"/>
          <w:szCs w:val="24"/>
        </w:rPr>
        <w:t xml:space="preserve">. </w:t>
      </w:r>
      <w:r w:rsidR="000D64D9">
        <w:rPr>
          <w:rFonts w:ascii="Times New Roman" w:hAnsi="Times New Roman" w:cs="Times New Roman"/>
          <w:color w:val="000000"/>
          <w:sz w:val="24"/>
          <w:szCs w:val="24"/>
        </w:rPr>
        <w:t xml:space="preserve">В назначении платежа необходимо указывать: </w:t>
      </w:r>
      <w:r w:rsidR="000D64D9">
        <w:rPr>
          <w:rFonts w:ascii="Times New Roman" w:hAnsi="Times New Roman" w:cs="Times New Roman"/>
          <w:b/>
          <w:color w:val="000000"/>
          <w:sz w:val="24"/>
          <w:szCs w:val="24"/>
        </w:rPr>
        <w:t>«№ Л/с ....Задаток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B141BB">
        <w:rPr>
          <w:rFonts w:ascii="Times New Roman" w:hAnsi="Times New Roman" w:cs="Times New Roman"/>
          <w:color w:val="000000"/>
          <w:sz w:val="24"/>
          <w:szCs w:val="24"/>
        </w:rPr>
        <w:t>ОТ</w:t>
      </w:r>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lastRenderedPageBreak/>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B59CEAA" w14:textId="77777777" w:rsidR="00D242FD" w:rsidRPr="00BF04FA" w:rsidRDefault="00D242FD" w:rsidP="00D2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04FA">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3E054F8" w14:textId="20CDDF4B" w:rsidR="00E82D65" w:rsidRPr="00BF04FA"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04FA">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E82D65" w:rsidRPr="00BF04FA">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A81DF3" w:rsidRPr="00BF04FA">
        <w:rPr>
          <w:rFonts w:ascii="Times New Roman" w:hAnsi="Times New Roman" w:cs="Times New Roman"/>
          <w:color w:val="000000"/>
          <w:sz w:val="24"/>
          <w:szCs w:val="24"/>
        </w:rPr>
        <w:t xml:space="preserve">КУ </w:t>
      </w:r>
      <w:r w:rsidR="00E82D65" w:rsidRPr="00BF04FA">
        <w:rPr>
          <w:rFonts w:ascii="Times New Roman" w:hAnsi="Times New Roman" w:cs="Times New Roman"/>
          <w:color w:val="000000"/>
          <w:sz w:val="24"/>
          <w:szCs w:val="24"/>
        </w:rPr>
        <w:t xml:space="preserve">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C074244" w14:textId="3028A8E7" w:rsidR="00CF5F6F" w:rsidRPr="00BF04FA"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04FA">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6D861CF7" w14:textId="77777777" w:rsidR="00CF5F6F" w:rsidRPr="00BF04FA"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04FA">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19EF2E42" w14:textId="73613382" w:rsidR="00E67DEB" w:rsidRPr="00BF04FA" w:rsidRDefault="00E67DEB" w:rsidP="00E67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04FA">
        <w:rPr>
          <w:rFonts w:ascii="Times New Roman" w:hAnsi="Times New Roman" w:cs="Times New Roman"/>
          <w:color w:val="000000"/>
          <w:sz w:val="24"/>
          <w:szCs w:val="24"/>
        </w:rPr>
        <w:t xml:space="preserve">Информацию о реализуемом имуществе можно получить у КУ </w:t>
      </w:r>
      <w:r w:rsidR="00FA2CAE" w:rsidRPr="00FA2CAE">
        <w:rPr>
          <w:rFonts w:ascii="Times New Roman" w:hAnsi="Times New Roman" w:cs="Times New Roman"/>
          <w:color w:val="000000"/>
          <w:sz w:val="24"/>
          <w:szCs w:val="24"/>
          <w:shd w:val="clear" w:color="auto" w:fill="FFFFFF"/>
        </w:rPr>
        <w:t xml:space="preserve">с 09:00 до 18:00 часов по адресу: г. Казань, ул. Чернышевского, 43/2, тел. 8(800)505-80-32; у ОТ: kazan@auction-house.ru, +7 (843) 5000-320, 8(920)051-08-41 Леван Шакая, 8 (930)805-20-00 Дмитрий Рождественский.  </w:t>
      </w:r>
    </w:p>
    <w:p w14:paraId="75E30D8B" w14:textId="249D6965"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04FA">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w:t>
      </w:r>
      <w:r w:rsidRPr="00220F07">
        <w:rPr>
          <w:rFonts w:ascii="Times New Roman" w:hAnsi="Times New Roman" w:cs="Times New Roman"/>
          <w:color w:val="000000"/>
          <w:sz w:val="24"/>
          <w:szCs w:val="24"/>
        </w:rPr>
        <w:t xml:space="preserve">. Подробнее с порядком осмотра </w:t>
      </w:r>
      <w:r w:rsidRPr="00220F07">
        <w:rPr>
          <w:rFonts w:ascii="Times New Roman" w:hAnsi="Times New Roman" w:cs="Times New Roman"/>
          <w:color w:val="000000"/>
          <w:sz w:val="24"/>
          <w:szCs w:val="24"/>
        </w:rPr>
        <w:lastRenderedPageBreak/>
        <w:t>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65"/>
    <w:rsid w:val="0004186C"/>
    <w:rsid w:val="000D64D9"/>
    <w:rsid w:val="00107714"/>
    <w:rsid w:val="00203862"/>
    <w:rsid w:val="00220317"/>
    <w:rsid w:val="00220F07"/>
    <w:rsid w:val="002845C8"/>
    <w:rsid w:val="002A0202"/>
    <w:rsid w:val="002C116A"/>
    <w:rsid w:val="002C2BDE"/>
    <w:rsid w:val="0033162B"/>
    <w:rsid w:val="00357D36"/>
    <w:rsid w:val="00360DC6"/>
    <w:rsid w:val="00405C92"/>
    <w:rsid w:val="004C3ABB"/>
    <w:rsid w:val="00507F0D"/>
    <w:rsid w:val="0051664E"/>
    <w:rsid w:val="00532CAB"/>
    <w:rsid w:val="00577987"/>
    <w:rsid w:val="005F1F68"/>
    <w:rsid w:val="00651D54"/>
    <w:rsid w:val="00707F65"/>
    <w:rsid w:val="008B5083"/>
    <w:rsid w:val="008E2B16"/>
    <w:rsid w:val="009E4671"/>
    <w:rsid w:val="00A81DF3"/>
    <w:rsid w:val="00B141BB"/>
    <w:rsid w:val="00B220F8"/>
    <w:rsid w:val="00B61813"/>
    <w:rsid w:val="00B93A5E"/>
    <w:rsid w:val="00BF04FA"/>
    <w:rsid w:val="00CF5F6F"/>
    <w:rsid w:val="00D16130"/>
    <w:rsid w:val="00D242FD"/>
    <w:rsid w:val="00D7451B"/>
    <w:rsid w:val="00D834CB"/>
    <w:rsid w:val="00E645EC"/>
    <w:rsid w:val="00E67DEB"/>
    <w:rsid w:val="00E82D65"/>
    <w:rsid w:val="00EE3F19"/>
    <w:rsid w:val="00F16092"/>
    <w:rsid w:val="00F733B8"/>
    <w:rsid w:val="00FA2CAE"/>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B49CF19B-337E-4D75-96F6-2ED46306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1535774055">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2119</Words>
  <Characters>12512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6</cp:revision>
  <dcterms:created xsi:type="dcterms:W3CDTF">2022-12-12T09:14:00Z</dcterms:created>
  <dcterms:modified xsi:type="dcterms:W3CDTF">2022-12-14T06:40:00Z</dcterms:modified>
</cp:coreProperties>
</file>