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1D8E" w14:textId="0CA220C2" w:rsidR="00404EF9" w:rsidRPr="00B102CE" w:rsidRDefault="000C3E44" w:rsidP="000C3E44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Организатор торгов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АО «Российский аукционный дом» (ОГРН 1097847233351 ИНН 7838430413, 190000, Санкт-Петербург, пер.Гривцова, д.5, лит.В, </w:t>
      </w:r>
      <w:r w:rsidR="00F74527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AD6E81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valek</w:t>
      </w:r>
      <w:r w:rsidR="00AC4B7D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@auction-house.ru) (далее-ОТ), действующее на основании договора поручения с </w:t>
      </w:r>
      <w:bookmarkStart w:id="0" w:name="_Hlk57805460"/>
      <w:r w:rsidR="00CE0C6B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52275322"/>
      <w:bookmarkStart w:id="2" w:name="_Hlk115899971"/>
      <w:bookmarkStart w:id="3" w:name="_Hlk103715504"/>
      <w:bookmarkEnd w:id="0"/>
      <w:r w:rsidR="00AD47CF" w:rsidRPr="00B102CE">
        <w:rPr>
          <w:rFonts w:ascii="Times New Roman" w:hAnsi="Times New Roman" w:cs="Times New Roman"/>
          <w:b/>
          <w:bCs/>
          <w:sz w:val="25"/>
          <w:szCs w:val="25"/>
        </w:rPr>
        <w:t xml:space="preserve">Гражданином Российской Федерации </w:t>
      </w:r>
      <w:bookmarkStart w:id="4" w:name="_Hlk117524333"/>
      <w:bookmarkEnd w:id="1"/>
      <w:r w:rsidRPr="00B102CE">
        <w:rPr>
          <w:rFonts w:ascii="Times New Roman" w:hAnsi="Times New Roman" w:cs="Times New Roman"/>
          <w:b/>
          <w:bCs/>
          <w:sz w:val="25"/>
          <w:szCs w:val="25"/>
        </w:rPr>
        <w:t>Беляшев</w:t>
      </w:r>
      <w:r w:rsidRPr="00B102CE">
        <w:rPr>
          <w:rFonts w:ascii="Times New Roman" w:hAnsi="Times New Roman" w:cs="Times New Roman"/>
          <w:b/>
          <w:bCs/>
          <w:sz w:val="25"/>
          <w:szCs w:val="25"/>
        </w:rPr>
        <w:t>ым</w:t>
      </w:r>
      <w:r w:rsidRPr="00B102CE">
        <w:rPr>
          <w:rFonts w:ascii="Times New Roman" w:hAnsi="Times New Roman" w:cs="Times New Roman"/>
          <w:b/>
          <w:bCs/>
          <w:sz w:val="25"/>
          <w:szCs w:val="25"/>
        </w:rPr>
        <w:t xml:space="preserve"> Александр</w:t>
      </w:r>
      <w:r w:rsidRPr="00B102CE">
        <w:rPr>
          <w:rFonts w:ascii="Times New Roman" w:hAnsi="Times New Roman" w:cs="Times New Roman"/>
          <w:b/>
          <w:bCs/>
          <w:sz w:val="25"/>
          <w:szCs w:val="25"/>
        </w:rPr>
        <w:t>ом</w:t>
      </w:r>
      <w:r w:rsidRPr="00B102CE">
        <w:rPr>
          <w:rFonts w:ascii="Times New Roman" w:hAnsi="Times New Roman" w:cs="Times New Roman"/>
          <w:b/>
          <w:bCs/>
          <w:sz w:val="25"/>
          <w:szCs w:val="25"/>
        </w:rPr>
        <w:t xml:space="preserve"> Сергеевич</w:t>
      </w:r>
      <w:r w:rsidRPr="00B102CE">
        <w:rPr>
          <w:rFonts w:ascii="Times New Roman" w:hAnsi="Times New Roman" w:cs="Times New Roman"/>
          <w:b/>
          <w:bCs/>
          <w:sz w:val="25"/>
          <w:szCs w:val="25"/>
        </w:rPr>
        <w:t>ем</w:t>
      </w:r>
      <w:r w:rsidRPr="00B102CE">
        <w:rPr>
          <w:rFonts w:ascii="Times New Roman" w:hAnsi="Times New Roman" w:cs="Times New Roman"/>
          <w:sz w:val="25"/>
          <w:szCs w:val="25"/>
        </w:rPr>
        <w:t xml:space="preserve"> (дата рождения 21.03.1974, место рождения г. Грозный Чечено-Ингушской АССР, ИНН</w:t>
      </w:r>
      <w:r w:rsidRPr="00B102CE">
        <w:rPr>
          <w:rFonts w:ascii="Times New Roman" w:hAnsi="Times New Roman" w:cs="Times New Roman"/>
          <w:sz w:val="25"/>
          <w:szCs w:val="25"/>
        </w:rPr>
        <w:t xml:space="preserve"> </w:t>
      </w:r>
      <w:bookmarkStart w:id="5" w:name="_Hlk119075233"/>
      <w:r w:rsidRPr="00B102CE">
        <w:rPr>
          <w:rFonts w:ascii="Times New Roman" w:hAnsi="Times New Roman" w:cs="Times New Roman"/>
          <w:sz w:val="25"/>
          <w:szCs w:val="25"/>
        </w:rPr>
        <w:t>504306094208</w:t>
      </w:r>
      <w:bookmarkEnd w:id="5"/>
      <w:r w:rsidRPr="00B102CE">
        <w:rPr>
          <w:rFonts w:ascii="Times New Roman" w:hAnsi="Times New Roman" w:cs="Times New Roman"/>
          <w:sz w:val="25"/>
          <w:szCs w:val="25"/>
        </w:rPr>
        <w:t xml:space="preserve">, СНИЛС 005-873-559 63, место жительства: Московская обл., г. Серпухов, ул. Военный городок, д. 6), решением </w:t>
      </w:r>
      <w:bookmarkStart w:id="6" w:name="_Hlk117521230"/>
      <w:r w:rsidRPr="00B102CE">
        <w:rPr>
          <w:rFonts w:ascii="Times New Roman" w:hAnsi="Times New Roman" w:cs="Times New Roman"/>
          <w:sz w:val="25"/>
          <w:szCs w:val="25"/>
        </w:rPr>
        <w:t>Арбитражного суда Московской области от 15</w:t>
      </w:r>
      <w:r w:rsidRPr="00B102CE">
        <w:rPr>
          <w:rFonts w:ascii="Times New Roman" w:hAnsi="Times New Roman" w:cs="Times New Roman"/>
          <w:sz w:val="25"/>
          <w:szCs w:val="25"/>
        </w:rPr>
        <w:t>.05.</w:t>
      </w:r>
      <w:r w:rsidRPr="00B102CE">
        <w:rPr>
          <w:rFonts w:ascii="Times New Roman" w:hAnsi="Times New Roman" w:cs="Times New Roman"/>
          <w:sz w:val="25"/>
          <w:szCs w:val="25"/>
        </w:rPr>
        <w:t xml:space="preserve">2018 по делу №А41-16140/18 </w:t>
      </w:r>
      <w:bookmarkEnd w:id="6"/>
      <w:r w:rsidRPr="00B102CE">
        <w:rPr>
          <w:rFonts w:ascii="Times New Roman" w:hAnsi="Times New Roman" w:cs="Times New Roman"/>
          <w:sz w:val="25"/>
          <w:szCs w:val="25"/>
        </w:rPr>
        <w:t xml:space="preserve">признанный несостоятельным (банкротом), с введение процедуры реализации имущества гражданина, </w:t>
      </w:r>
      <w:r w:rsidRPr="00B102CE">
        <w:rPr>
          <w:rFonts w:ascii="Times New Roman" w:hAnsi="Times New Roman" w:cs="Times New Roman"/>
          <w:bCs/>
          <w:sz w:val="25"/>
          <w:szCs w:val="25"/>
        </w:rPr>
        <w:t xml:space="preserve">именуемый в дальнейшем </w:t>
      </w:r>
      <w:r w:rsidRPr="00B102CE">
        <w:rPr>
          <w:rFonts w:ascii="Times New Roman" w:hAnsi="Times New Roman" w:cs="Times New Roman"/>
          <w:sz w:val="25"/>
          <w:szCs w:val="25"/>
        </w:rPr>
        <w:t xml:space="preserve">«Должник», </w:t>
      </w:r>
      <w:r w:rsidRPr="00B102CE">
        <w:rPr>
          <w:rFonts w:ascii="Times New Roman" w:hAnsi="Times New Roman" w:cs="Times New Roman"/>
          <w:b/>
          <w:bCs/>
          <w:sz w:val="25"/>
          <w:szCs w:val="25"/>
        </w:rPr>
        <w:t>в лице финансового управляющего Павлова Дмитрия Евгеньевича</w:t>
      </w:r>
      <w:r w:rsidRPr="00B102CE">
        <w:rPr>
          <w:rFonts w:ascii="Times New Roman" w:hAnsi="Times New Roman" w:cs="Times New Roman"/>
          <w:sz w:val="25"/>
          <w:szCs w:val="25"/>
        </w:rPr>
        <w:t xml:space="preserve"> (</w:t>
      </w:r>
      <w:bookmarkStart w:id="7" w:name="_Hlk119076188"/>
      <w:r w:rsidRPr="00B102CE">
        <w:rPr>
          <w:rFonts w:ascii="Times New Roman" w:hAnsi="Times New Roman" w:cs="Times New Roman"/>
          <w:sz w:val="25"/>
          <w:szCs w:val="25"/>
        </w:rPr>
        <w:t xml:space="preserve">ИНН 682965222848, </w:t>
      </w:r>
      <w:bookmarkEnd w:id="7"/>
      <w:r w:rsidRPr="00B102CE">
        <w:rPr>
          <w:rFonts w:ascii="Times New Roman" w:hAnsi="Times New Roman" w:cs="Times New Roman"/>
          <w:sz w:val="25"/>
          <w:szCs w:val="25"/>
        </w:rPr>
        <w:t>СНИЛС 132-928-540 65, адрес для корреспонденции</w:t>
      </w:r>
      <w:r w:rsidRPr="00B102CE">
        <w:rPr>
          <w:rFonts w:ascii="Times New Roman" w:hAnsi="Times New Roman" w:cs="Times New Roman"/>
          <w:sz w:val="25"/>
          <w:szCs w:val="25"/>
        </w:rPr>
        <w:tab/>
        <w:t>392008, г. Тамбов, ул. Пензенская, д. 34-25, рег. номер 14235), член СРО Союз АУ «СРО СС» – Союз арбитражных управляющих «Саморегулируемая организация «Северная Столица» ИНН 7813175754, ОГРН 1027806876173, адрес 194100, г. Санкт-Петербург, г. Санкт-Петербург, ул. Новолитовская, д. 15, лит. «А») действующего на основании Определения Арбитражного суда Московской области от 24.09.2021 по делу №А41-16140/18</w:t>
      </w:r>
      <w:bookmarkEnd w:id="4"/>
      <w:r w:rsidRPr="00B102C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D47CF" w:rsidRPr="00B102CE">
        <w:rPr>
          <w:rFonts w:ascii="Times New Roman" w:hAnsi="Times New Roman" w:cs="Times New Roman"/>
          <w:sz w:val="25"/>
          <w:szCs w:val="25"/>
        </w:rPr>
        <w:t>(далее – ФУ),</w:t>
      </w:r>
      <w:r w:rsidR="00AD47CF" w:rsidRPr="00B102CE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bookmarkEnd w:id="2"/>
      <w:bookmarkEnd w:id="3"/>
      <w:r w:rsidR="001B4E6F" w:rsidRPr="00B102CE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8" w:name="_Hlk114076530"/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97306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1</w:t>
      </w:r>
      <w:r w:rsidR="00B75658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.1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2</w:t>
      </w:r>
      <w:r w:rsidR="00B75658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.2022</w:t>
      </w:r>
      <w:r w:rsidR="00B75658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8"/>
      <w:r w:rsidR="00B75658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bookmarkStart w:id="9" w:name="_Hlk115960959"/>
      <w:r w:rsidR="00B75658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</w:t>
      </w:r>
      <w:hyperlink r:id="rId4" w:history="1">
        <w:r w:rsidR="0027640C" w:rsidRPr="00B102CE">
          <w:rPr>
            <w:rStyle w:val="aa"/>
            <w:rFonts w:ascii="Times New Roman" w:eastAsia="Calibri" w:hAnsi="Times New Roman" w:cs="Times New Roman"/>
            <w:sz w:val="25"/>
            <w:szCs w:val="25"/>
            <w:shd w:val="clear" w:color="auto" w:fill="FFFFFF"/>
          </w:rPr>
          <w:t>http://www.lot-online.ru/</w:t>
        </w:r>
      </w:hyperlink>
      <w:bookmarkEnd w:id="9"/>
      <w:r w:rsidR="0027640C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r w:rsidR="00B75658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2D49DDE9" w:rsidR="00404EF9" w:rsidRPr="00B102CE" w:rsidRDefault="00B75658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97306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.2022 с 11 час. 00 мин. (время мск) по </w:t>
      </w:r>
      <w:bookmarkStart w:id="10" w:name="_Hlk109211639"/>
      <w:r w:rsidR="0097306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19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.2022 </w:t>
      </w:r>
      <w:bookmarkEnd w:id="10"/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торгов – </w:t>
      </w:r>
      <w:r w:rsidR="00EB6C93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97306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.2022 в 1</w:t>
      </w:r>
      <w:r w:rsidR="008A6858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28A6DD67" w:rsidR="00404EF9" w:rsidRPr="00B102CE" w:rsidRDefault="00B75658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EB6C93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97306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.2022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08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EB6C93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EB6C93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торгов (далее – Торги 2) на ЭП по нереализованному лоту со снижением начальной цены лота на 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%.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Начало приема заявок на участие в Торгах 2 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26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.1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.2022 с 11 час. 00 мин. (время мск) по </w:t>
      </w:r>
      <w:bookmarkStart w:id="11" w:name="_Hlk109211692"/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06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1"/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07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D47CF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0C3E44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AD47CF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оформляется протоколом об определении участников торгов.</w:t>
      </w:r>
      <w:r w:rsidRPr="00B102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4343F3C8" w14:textId="15A8C16E" w:rsidR="009879BC" w:rsidRPr="00B102CE" w:rsidRDefault="001B4E6F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r w:rsidR="00C35261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в </w:t>
      </w:r>
      <w:r w:rsidR="000C3E44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АКБ «Енисей» (ПАО)</w:t>
      </w:r>
      <w:r w:rsidR="00876D5B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(далее –</w:t>
      </w:r>
      <w:r w:rsidR="00B31512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Лот):</w:t>
      </w:r>
      <w:r w:rsidR="00E569B1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2" w:name="_Hlk102040278"/>
      <w:bookmarkStart w:id="13" w:name="_Hlk103768758"/>
      <w:r w:rsidR="00B508F6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</w:p>
    <w:p w14:paraId="66717434" w14:textId="77777777" w:rsidR="000C3E44" w:rsidRPr="00B102CE" w:rsidRDefault="00FB0671" w:rsidP="000C3E44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bookmarkStart w:id="14" w:name="_Hlk116583881"/>
      <w:bookmarkEnd w:id="12"/>
      <w:r w:rsidR="000C3E44" w:rsidRPr="00B102CE">
        <w:rPr>
          <w:rFonts w:ascii="Times New Roman" w:hAnsi="Times New Roman" w:cs="Times New Roman"/>
          <w:color w:val="000000" w:themeColor="text1"/>
          <w:sz w:val="25"/>
          <w:szCs w:val="25"/>
        </w:rPr>
        <w:t>Автомобиль легковой универсал, марка: Great WALL (ГРЕЙТ ВОЛЛ), модель: СС6461KM29, 2013 года выпуска, цвет: серый светлый, гос. номер: Т708ОЕ50, № шасси (рамы): LGWFF3А50DВ967519, № двигателя: SМК9097, рабочий объем: 2378 см³,  мощность 93/126.0 кВт/л.с., VIN Z8PFF3A5XDA051878 (автомобиль в неисправном состоянии).</w:t>
      </w:r>
    </w:p>
    <w:bookmarkEnd w:id="14"/>
    <w:p w14:paraId="30B42FC6" w14:textId="163415D8" w:rsidR="009879BC" w:rsidRPr="00B102CE" w:rsidRDefault="000C3E44" w:rsidP="000C3E44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B49E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Ограничения (обременения) Имущества: запрет на осуществление регистрационных действий. </w:t>
      </w:r>
      <w:r w:rsidRPr="00B102CE">
        <w:rPr>
          <w:rFonts w:ascii="Times New Roman" w:hAnsi="Times New Roman" w:cs="Times New Roman"/>
          <w:sz w:val="25"/>
          <w:szCs w:val="25"/>
        </w:rPr>
        <w:t>Финансовым управляющим будут осуществлены действия по погашению записи о запрете перед заключением Договора купли-продажи с Победителем торгов.</w:t>
      </w:r>
    </w:p>
    <w:p w14:paraId="29264CD6" w14:textId="6840BD3E" w:rsidR="00A256C7" w:rsidRPr="00B102CE" w:rsidRDefault="00F81E59" w:rsidP="00A256C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5"/>
          <w:szCs w:val="25"/>
          <w:shd w:val="clear" w:color="auto" w:fill="FFFFFF"/>
        </w:rPr>
      </w:pPr>
      <w:bookmarkStart w:id="15" w:name="_Hlk103768844"/>
      <w:bookmarkEnd w:id="13"/>
      <w:r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Адрес места нахождения</w:t>
      </w:r>
      <w:r w:rsidR="00B31512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: </w:t>
      </w:r>
      <w:bookmarkEnd w:id="15"/>
      <w:r w:rsidR="002B49E8" w:rsidRPr="002B49E8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Московская обл., г. Серпухов, ул. Военный городок, д. 6</w:t>
      </w:r>
    </w:p>
    <w:p w14:paraId="279B6A77" w14:textId="6A5CBC33" w:rsidR="009879BC" w:rsidRPr="00B102CE" w:rsidRDefault="009879BC" w:rsidP="005950F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B102CE">
        <w:rPr>
          <w:rFonts w:ascii="Times New Roman" w:hAnsi="Times New Roman" w:cs="Times New Roman"/>
          <w:sz w:val="25"/>
          <w:szCs w:val="25"/>
          <w:lang w:bidi="ru-RU"/>
        </w:rPr>
        <w:t xml:space="preserve">Ознакомление с документами в отношении Имущества проводится путем обращения к Организатору торгов по тел. </w:t>
      </w:r>
      <w:r w:rsidRPr="00B102CE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8(473)210-64-31, 8(916)600-02-13 и по e-mail: </w:t>
      </w:r>
      <w:hyperlink r:id="rId5" w:history="1">
        <w:r w:rsidRPr="00B102CE">
          <w:rPr>
            <w:rStyle w:val="aa"/>
            <w:rFonts w:ascii="Times New Roman" w:hAnsi="Times New Roman" w:cs="Times New Roman"/>
            <w:b/>
            <w:bCs/>
            <w:sz w:val="25"/>
            <w:szCs w:val="25"/>
            <w:lang w:bidi="ru-RU"/>
          </w:rPr>
          <w:t>valek@auction-house.ru</w:t>
        </w:r>
      </w:hyperlink>
      <w:r w:rsidRPr="00B102CE">
        <w:rPr>
          <w:rFonts w:ascii="Times New Roman" w:hAnsi="Times New Roman" w:cs="Times New Roman"/>
          <w:b/>
          <w:bCs/>
          <w:sz w:val="25"/>
          <w:szCs w:val="25"/>
          <w:lang w:bidi="ru-RU"/>
        </w:rPr>
        <w:t xml:space="preserve">  </w:t>
      </w:r>
      <w:r w:rsidRPr="00B102CE">
        <w:rPr>
          <w:rFonts w:ascii="Times New Roman" w:hAnsi="Times New Roman" w:cs="Times New Roman"/>
          <w:sz w:val="25"/>
          <w:szCs w:val="25"/>
          <w:lang w:bidi="ru-RU"/>
        </w:rPr>
        <w:t>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FA8066" w14:textId="4057B547" w:rsidR="007C4886" w:rsidRPr="00B102CE" w:rsidRDefault="00466B8E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6" w:name="_Hlk114163042"/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Начальная цена </w:t>
      </w:r>
      <w:bookmarkEnd w:id="16"/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1 - </w:t>
      </w:r>
      <w:r w:rsidR="00FD6365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683 000 </w:t>
      </w:r>
      <w:r w:rsidR="0050572D" w:rsidRPr="00B102CE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руб.</w:t>
      </w:r>
      <w:r w:rsidRPr="00B102C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75ECE6D" w14:textId="1620C2E0" w:rsidR="00404EF9" w:rsidRPr="00B102CE" w:rsidRDefault="007C4886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102CE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B102CE">
        <w:rPr>
          <w:rFonts w:ascii="Times New Roman" w:hAnsi="Times New Roman" w:cs="Times New Roman"/>
          <w:sz w:val="25"/>
          <w:szCs w:val="25"/>
        </w:rPr>
        <w:t>начальной</w:t>
      </w:r>
      <w:r w:rsidRPr="00B102CE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</w:p>
    <w:p w14:paraId="1D91EC85" w14:textId="3E15F168" w:rsidR="005950F5" w:rsidRPr="00B102CE" w:rsidRDefault="00C825CC" w:rsidP="00C825C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</w:pPr>
      <w:r w:rsidRPr="00B102CE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FD6365"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</w:t>
      </w:r>
      <w:r w:rsidRPr="00B102CE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0 % от начальной цены Лота</w:t>
      </w:r>
      <w:r w:rsidRPr="00B102C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Pr="00B102C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установленный для Торгов</w:t>
      </w:r>
      <w:r w:rsidRPr="00B102CE">
        <w:rPr>
          <w:rFonts w:ascii="Times New Roman" w:eastAsia="Times New Roman" w:hAnsi="Times New Roman" w:cs="Times New Roman"/>
          <w:color w:val="000000"/>
          <w:sz w:val="25"/>
          <w:szCs w:val="25"/>
        </w:rPr>
        <w:t>/определенного периода ТППП,</w:t>
      </w:r>
      <w:r w:rsidRPr="00B102CE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Pr="00B102CE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Pr="00B102CE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Pr="00B102CE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Pr="00B102CE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B102CE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>не позднее даты и времени окончания приема заявок на участие в Торгах</w:t>
      </w:r>
      <w:r w:rsidRPr="00B102CE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</w:rPr>
        <w:t>/ТППП</w:t>
      </w:r>
      <w:r w:rsidRPr="00B102CE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r w:rsidR="009879BC"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</w:t>
      </w:r>
      <w:r w:rsidR="009879BC" w:rsidRPr="00B102CE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денежных средств, перечисленных в качестве задатка, на счет Оператора ЭП в соответствии с Регламентом АО «РАД» </w:t>
      </w:r>
      <w:r w:rsidR="0027640C" w:rsidRPr="00B102CE">
        <w:rPr>
          <w:rFonts w:ascii="Times New Roman" w:hAnsi="Times New Roman" w:cs="Times New Roman"/>
          <w:color w:val="000000"/>
          <w:sz w:val="25"/>
          <w:szCs w:val="25"/>
        </w:rPr>
        <w:t>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собственников», размещённо</w:t>
      </w:r>
      <w:r w:rsidR="005950F5" w:rsidRPr="00B102CE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="0027640C"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5950F5" w:rsidRPr="00B102CE">
        <w:rPr>
          <w:rFonts w:ascii="Times New Roman" w:hAnsi="Times New Roman" w:cs="Times New Roman"/>
          <w:color w:val="000000"/>
          <w:sz w:val="25"/>
          <w:szCs w:val="25"/>
        </w:rPr>
        <w:t>ЭП.</w:t>
      </w:r>
      <w:r w:rsidR="0027640C"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9B5B79D" w14:textId="77777777" w:rsidR="00EB6C93" w:rsidRPr="00B102CE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Реквизиты расчетного счета для внесения задатка: </w:t>
      </w:r>
    </w:p>
    <w:p w14:paraId="5851DD08" w14:textId="79DE2170" w:rsidR="005950F5" w:rsidRPr="00B102CE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102C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2ED27F45" w14:textId="73F13216" w:rsidR="00404EF9" w:rsidRPr="00B102CE" w:rsidRDefault="009879BC" w:rsidP="005950F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В назначении платежа необходимо указывать: </w:t>
      </w:r>
      <w:r w:rsidRPr="00B102CE">
        <w:rPr>
          <w:rFonts w:ascii="Times New Roman" w:hAnsi="Times New Roman" w:cs="Times New Roman"/>
          <w:b/>
          <w:color w:val="000000"/>
          <w:sz w:val="25"/>
          <w:szCs w:val="25"/>
        </w:rPr>
        <w:t>«№ Л/с ....</w:t>
      </w:r>
      <w:r w:rsidR="003E3AA7" w:rsidRPr="00B102CE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Pr="00B102CE">
        <w:rPr>
          <w:rFonts w:ascii="Times New Roman" w:hAnsi="Times New Roman" w:cs="Times New Roman"/>
          <w:b/>
          <w:color w:val="000000"/>
          <w:sz w:val="25"/>
          <w:szCs w:val="25"/>
        </w:rPr>
        <w:t>Средства для проведения операций по обеспечению участия в электронных торгах. НДС не облагается».</w:t>
      </w:r>
      <w:r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</w:t>
      </w:r>
      <w:r w:rsidR="005950F5"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33ED7" w:rsidRPr="00B102CE">
        <w:rPr>
          <w:rFonts w:ascii="Times New Roman" w:hAnsi="Times New Roman" w:cs="Times New Roman"/>
          <w:color w:val="000000"/>
          <w:sz w:val="25"/>
          <w:szCs w:val="25"/>
        </w:rPr>
        <w:t xml:space="preserve">Документом, подтверждающим поступление задатка на счет ОТ, является выписка со счета ОТ. </w:t>
      </w:r>
      <w:r w:rsidR="00AC4B7D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825CC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Договор о задатке и проект договора купли-продажи (далее - ДКП), заключаемого по итогам Торгов/ТППП, размещены на ЭП.</w:t>
      </w:r>
    </w:p>
    <w:p w14:paraId="4F1508DE" w14:textId="0D9ADACD" w:rsidR="00404EF9" w:rsidRPr="00B102CE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7" w:name="_Hlk49508310"/>
      <w:r w:rsidR="009156FB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 1 и Торгах 2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End w:id="17"/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33ED7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№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AD47C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AD47C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AD47C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6A2FD609" w14:textId="77777777" w:rsidR="00404EF9" w:rsidRPr="00B102CE" w:rsidRDefault="00AC4B7D" w:rsidP="005950F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1 и Торгов 2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532405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торгов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1399444E" w14:textId="77777777" w:rsidR="00EB6C93" w:rsidRPr="00B102CE" w:rsidRDefault="00AC4B7D" w:rsidP="00A256C7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8" w:name="_Hlk49508377"/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8"/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B102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AD47CF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</w:p>
    <w:p w14:paraId="1CEFAC26" w14:textId="40FC6E2F" w:rsidR="002B49E8" w:rsidRPr="002B49E8" w:rsidRDefault="00AC4B7D" w:rsidP="002B49E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</w:pP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Оплата - в течение 30 дней со дня подписания Договора на </w:t>
      </w:r>
      <w:r w:rsidR="00532405" w:rsidRPr="00B102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</w:t>
      </w:r>
      <w:r w:rsidR="002B49E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, открытый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2B49E8" w:rsidRPr="002B49E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 имя финансового управляющего</w:t>
      </w:r>
      <w:r w:rsidRPr="002B49E8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:</w:t>
      </w:r>
      <w:r w:rsidR="001B2001" w:rsidRPr="00B102CE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п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олучатель Павлов Дмитрий Евгеньевич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ИНН 682965222848,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р/с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40817810211530000644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«Альфа-Банк», г. Москва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БИК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044525593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, к/с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30101810200000000593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, 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ИНН 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б</w:t>
      </w:r>
      <w:r w:rsidR="002B49E8" w:rsidRP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анка 7728168971</w:t>
      </w:r>
      <w:r w:rsidR="002B49E8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</w:p>
    <w:p w14:paraId="43670230" w14:textId="18F60BF2" w:rsidR="00532405" w:rsidRPr="002B49E8" w:rsidRDefault="009879BC" w:rsidP="00B102C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B49E8">
        <w:rPr>
          <w:rFonts w:ascii="Times New Roman" w:hAnsi="Times New Roman" w:cs="Times New Roman"/>
          <w:sz w:val="25"/>
          <w:szCs w:val="25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32405" w:rsidRPr="002B49E8" w:rsidSect="00B102CE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26A81"/>
    <w:rsid w:val="000462B2"/>
    <w:rsid w:val="0005381C"/>
    <w:rsid w:val="00064FDB"/>
    <w:rsid w:val="00096F8A"/>
    <w:rsid w:val="000C3E44"/>
    <w:rsid w:val="000D6073"/>
    <w:rsid w:val="000E6765"/>
    <w:rsid w:val="00142F0E"/>
    <w:rsid w:val="0015033B"/>
    <w:rsid w:val="00154E3A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210FBF"/>
    <w:rsid w:val="00216A23"/>
    <w:rsid w:val="002625BE"/>
    <w:rsid w:val="0027640C"/>
    <w:rsid w:val="00293BAC"/>
    <w:rsid w:val="002974A7"/>
    <w:rsid w:val="002B49E8"/>
    <w:rsid w:val="002D7ADA"/>
    <w:rsid w:val="002E6766"/>
    <w:rsid w:val="002F520A"/>
    <w:rsid w:val="0030699B"/>
    <w:rsid w:val="00312B73"/>
    <w:rsid w:val="003250CF"/>
    <w:rsid w:val="00327309"/>
    <w:rsid w:val="00353053"/>
    <w:rsid w:val="00356DB5"/>
    <w:rsid w:val="003749B4"/>
    <w:rsid w:val="00390A28"/>
    <w:rsid w:val="003C2694"/>
    <w:rsid w:val="003E3AA7"/>
    <w:rsid w:val="00404EF9"/>
    <w:rsid w:val="0042086B"/>
    <w:rsid w:val="00435E82"/>
    <w:rsid w:val="00436CE7"/>
    <w:rsid w:val="00446465"/>
    <w:rsid w:val="00463D4D"/>
    <w:rsid w:val="00466B8E"/>
    <w:rsid w:val="004B36A7"/>
    <w:rsid w:val="004F416D"/>
    <w:rsid w:val="0050572D"/>
    <w:rsid w:val="00532405"/>
    <w:rsid w:val="00573F80"/>
    <w:rsid w:val="00592177"/>
    <w:rsid w:val="00594083"/>
    <w:rsid w:val="005950F5"/>
    <w:rsid w:val="005B4FA1"/>
    <w:rsid w:val="005E6D21"/>
    <w:rsid w:val="005F07DD"/>
    <w:rsid w:val="005F1976"/>
    <w:rsid w:val="005F2557"/>
    <w:rsid w:val="00600176"/>
    <w:rsid w:val="00603727"/>
    <w:rsid w:val="00607070"/>
    <w:rsid w:val="006419F7"/>
    <w:rsid w:val="006435ED"/>
    <w:rsid w:val="00677E82"/>
    <w:rsid w:val="006B50DE"/>
    <w:rsid w:val="006C40AD"/>
    <w:rsid w:val="006D1138"/>
    <w:rsid w:val="006D2407"/>
    <w:rsid w:val="0070525B"/>
    <w:rsid w:val="00705301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91DB5"/>
    <w:rsid w:val="007A75C1"/>
    <w:rsid w:val="007B02BD"/>
    <w:rsid w:val="007B17B2"/>
    <w:rsid w:val="007B7C58"/>
    <w:rsid w:val="007C4886"/>
    <w:rsid w:val="007D2B9C"/>
    <w:rsid w:val="007D5092"/>
    <w:rsid w:val="007F7BD6"/>
    <w:rsid w:val="00871FE2"/>
    <w:rsid w:val="00876D5B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7306A"/>
    <w:rsid w:val="00985983"/>
    <w:rsid w:val="009879BC"/>
    <w:rsid w:val="009C07DC"/>
    <w:rsid w:val="009F77C4"/>
    <w:rsid w:val="00A256C7"/>
    <w:rsid w:val="00A60BC5"/>
    <w:rsid w:val="00A630F6"/>
    <w:rsid w:val="00A9010A"/>
    <w:rsid w:val="00A91CDA"/>
    <w:rsid w:val="00A958CC"/>
    <w:rsid w:val="00AA0CA3"/>
    <w:rsid w:val="00AB1500"/>
    <w:rsid w:val="00AC4B7D"/>
    <w:rsid w:val="00AC700B"/>
    <w:rsid w:val="00AD47CF"/>
    <w:rsid w:val="00AD6E81"/>
    <w:rsid w:val="00AF1572"/>
    <w:rsid w:val="00AF4F4A"/>
    <w:rsid w:val="00B102CE"/>
    <w:rsid w:val="00B31512"/>
    <w:rsid w:val="00B442E2"/>
    <w:rsid w:val="00B504B3"/>
    <w:rsid w:val="00B508F6"/>
    <w:rsid w:val="00B53EFF"/>
    <w:rsid w:val="00B55CA3"/>
    <w:rsid w:val="00B75658"/>
    <w:rsid w:val="00BB6D41"/>
    <w:rsid w:val="00BC1B48"/>
    <w:rsid w:val="00BE76A2"/>
    <w:rsid w:val="00BF7A5A"/>
    <w:rsid w:val="00C03FCF"/>
    <w:rsid w:val="00C3074F"/>
    <w:rsid w:val="00C33ED7"/>
    <w:rsid w:val="00C35261"/>
    <w:rsid w:val="00C3658A"/>
    <w:rsid w:val="00C825CC"/>
    <w:rsid w:val="00CA1BC6"/>
    <w:rsid w:val="00CC2092"/>
    <w:rsid w:val="00CE0C6B"/>
    <w:rsid w:val="00D13E52"/>
    <w:rsid w:val="00D173D5"/>
    <w:rsid w:val="00D27233"/>
    <w:rsid w:val="00D47721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B6C93"/>
    <w:rsid w:val="00EC4E22"/>
    <w:rsid w:val="00EC63C2"/>
    <w:rsid w:val="00F33865"/>
    <w:rsid w:val="00F45241"/>
    <w:rsid w:val="00F70DD7"/>
    <w:rsid w:val="00F74527"/>
    <w:rsid w:val="00F81E59"/>
    <w:rsid w:val="00F844A3"/>
    <w:rsid w:val="00F861CC"/>
    <w:rsid w:val="00FB0671"/>
    <w:rsid w:val="00FD6365"/>
    <w:rsid w:val="00FE3D9D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5AC6CDA6-9BFB-41D5-B7F2-5C19D15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1A2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Валек Антон Игоревич</cp:lastModifiedBy>
  <cp:revision>68</cp:revision>
  <cp:lastPrinted>2020-10-15T14:55:00Z</cp:lastPrinted>
  <dcterms:created xsi:type="dcterms:W3CDTF">2022-05-05T08:03:00Z</dcterms:created>
  <dcterms:modified xsi:type="dcterms:W3CDTF">2022-11-11T13:26:00Z</dcterms:modified>
</cp:coreProperties>
</file>