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6BE90458" w:rsidR="005F50E3" w:rsidRDefault="00FA3FB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3FB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2-4(ОГРН: 1147746738127, ИНН: 7701399749)), конкурсным управляющим (ликвидатором) которого на основании решения Арбитражного суда г. Москвы от 23 ноября 2018 г. по делу №А40-206341/2018, является государственная корпорация «Агентство по страхованию вкладов» (109240, г. Москва, ул. Высоцкого, д. 4),</w:t>
      </w:r>
      <w:r w:rsidR="000D7AB6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544A2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544A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40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35" w:rsidRPr="00540E35">
        <w:rPr>
          <w:rFonts w:ascii="Times New Roman" w:hAnsi="Times New Roman" w:cs="Times New Roman"/>
          <w:bCs/>
          <w:sz w:val="24"/>
          <w:szCs w:val="24"/>
        </w:rPr>
        <w:t>(далее – Торги ППП)</w:t>
      </w:r>
      <w:r w:rsidR="009C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544A28">
        <w:rPr>
          <w:rFonts w:ascii="Times New Roman" w:hAnsi="Times New Roman" w:cs="Times New Roman"/>
          <w:sz w:val="24"/>
          <w:szCs w:val="24"/>
        </w:rPr>
        <w:t>(</w:t>
      </w:r>
      <w:r w:rsidR="002A3232" w:rsidRPr="002A3232">
        <w:rPr>
          <w:rFonts w:ascii="Times New Roman" w:hAnsi="Times New Roman" w:cs="Times New Roman"/>
          <w:sz w:val="24"/>
          <w:szCs w:val="24"/>
        </w:rPr>
        <w:t>сообщение №02030138142 в газете АО «Коммерсантъ» от 25.06.2022 г. №112(7313</w:t>
      </w:r>
      <w:r w:rsidR="00E81049">
        <w:rPr>
          <w:rFonts w:ascii="Times New Roman" w:hAnsi="Times New Roman" w:cs="Times New Roman"/>
          <w:sz w:val="24"/>
          <w:szCs w:val="24"/>
        </w:rPr>
        <w:t>)</w:t>
      </w:r>
      <w:r w:rsidR="00A35BC0" w:rsidRPr="00544A2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1575E8">
        <w:rPr>
          <w:rFonts w:ascii="Times New Roman" w:hAnsi="Times New Roman" w:cs="Times New Roman"/>
          <w:sz w:val="24"/>
          <w:szCs w:val="24"/>
        </w:rPr>
        <w:t>.</w:t>
      </w:r>
    </w:p>
    <w:p w14:paraId="413FBEA4" w14:textId="481A6BDF" w:rsidR="00542B12" w:rsidRPr="00542B12" w:rsidRDefault="00542B12" w:rsidP="00551A8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542B12">
        <w:rPr>
          <w:rFonts w:ascii="Times New Roman" w:hAnsi="Times New Roman" w:cs="Times New Roman"/>
          <w:b/>
          <w:bCs/>
          <w:sz w:val="24"/>
          <w:szCs w:val="24"/>
        </w:rPr>
        <w:t>для лотов 2,4-6:</w:t>
      </w:r>
    </w:p>
    <w:p w14:paraId="43EDDD3F" w14:textId="4C8B90FE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11 января 2023 г. по 17 января 2023 г. - в размере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B421B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% от </w:t>
      </w:r>
      <w:r w:rsidRPr="00542B12">
        <w:rPr>
          <w:rFonts w:ascii="Times New Roman" w:hAnsi="Times New Roman" w:cs="Times New Roman"/>
          <w:sz w:val="24"/>
          <w:szCs w:val="24"/>
        </w:rPr>
        <w:t>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174D930E" w14:textId="5A619D2F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18 января 2023 г. по 24 января 2023 г. - в размере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4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160F3969" w14:textId="541202F0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25 января 2023 г. по 31 января 2023 г. - в размере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4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611A22E5" w14:textId="5E667D01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01 февраля 2023 г. по 07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4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42B99C69" w14:textId="1DE6984B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08 февраля 2023 г. по 14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4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65B22D3A" w14:textId="0959A989" w:rsidR="00542B12" w:rsidRPr="00542B12" w:rsidRDefault="00542B12" w:rsidP="00542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15 февраля 2023 г. по 21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8,5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2B12">
        <w:rPr>
          <w:rFonts w:ascii="Times New Roman" w:hAnsi="Times New Roman" w:cs="Times New Roman"/>
          <w:sz w:val="24"/>
          <w:szCs w:val="24"/>
        </w:rPr>
        <w:t>;</w:t>
      </w:r>
    </w:p>
    <w:p w14:paraId="7C956B76" w14:textId="2AC1E786" w:rsidR="00542B12" w:rsidRDefault="00542B12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B12">
        <w:rPr>
          <w:rFonts w:ascii="Times New Roman" w:hAnsi="Times New Roman" w:cs="Times New Roman"/>
          <w:sz w:val="24"/>
          <w:szCs w:val="24"/>
        </w:rPr>
        <w:t xml:space="preserve">с 22 февраля 2023 г. по 28 февраля 2023 г. - в размере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2B12">
        <w:rPr>
          <w:rFonts w:ascii="Times New Roman" w:hAnsi="Times New Roman" w:cs="Times New Roman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14:paraId="3717AA2C" w14:textId="373EBAEA" w:rsidR="002D3768" w:rsidRPr="00544A28" w:rsidRDefault="002D3768" w:rsidP="004B0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D7AB6"/>
    <w:rsid w:val="000E0A88"/>
    <w:rsid w:val="001575E8"/>
    <w:rsid w:val="00183683"/>
    <w:rsid w:val="001F468D"/>
    <w:rsid w:val="00260228"/>
    <w:rsid w:val="002A2506"/>
    <w:rsid w:val="002A3232"/>
    <w:rsid w:val="002D3768"/>
    <w:rsid w:val="002E4206"/>
    <w:rsid w:val="00321709"/>
    <w:rsid w:val="00331414"/>
    <w:rsid w:val="003424EF"/>
    <w:rsid w:val="003F4D88"/>
    <w:rsid w:val="00454B6D"/>
    <w:rsid w:val="004B0691"/>
    <w:rsid w:val="004B7FDD"/>
    <w:rsid w:val="004F46EA"/>
    <w:rsid w:val="005161CE"/>
    <w:rsid w:val="00540E35"/>
    <w:rsid w:val="00542B12"/>
    <w:rsid w:val="00544A28"/>
    <w:rsid w:val="00551A86"/>
    <w:rsid w:val="005F50E3"/>
    <w:rsid w:val="006062B7"/>
    <w:rsid w:val="00612FFC"/>
    <w:rsid w:val="0063426C"/>
    <w:rsid w:val="00683EA2"/>
    <w:rsid w:val="006F5FE6"/>
    <w:rsid w:val="007A3A1B"/>
    <w:rsid w:val="007C61C2"/>
    <w:rsid w:val="008342AA"/>
    <w:rsid w:val="008B07E2"/>
    <w:rsid w:val="008D0CF2"/>
    <w:rsid w:val="008F1095"/>
    <w:rsid w:val="00964D49"/>
    <w:rsid w:val="009C0EB1"/>
    <w:rsid w:val="009E17B1"/>
    <w:rsid w:val="00A14CE5"/>
    <w:rsid w:val="00A35BC0"/>
    <w:rsid w:val="00A559CA"/>
    <w:rsid w:val="00AA070F"/>
    <w:rsid w:val="00AB33CE"/>
    <w:rsid w:val="00AD0413"/>
    <w:rsid w:val="00AE62B1"/>
    <w:rsid w:val="00B421BC"/>
    <w:rsid w:val="00C76313"/>
    <w:rsid w:val="00CA3C3B"/>
    <w:rsid w:val="00CB14A0"/>
    <w:rsid w:val="00D97B88"/>
    <w:rsid w:val="00DF020B"/>
    <w:rsid w:val="00E65AE5"/>
    <w:rsid w:val="00E81049"/>
    <w:rsid w:val="00EE0B69"/>
    <w:rsid w:val="00F02DCA"/>
    <w:rsid w:val="00F116B2"/>
    <w:rsid w:val="00F41D96"/>
    <w:rsid w:val="00F97CC7"/>
    <w:rsid w:val="00FA3F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6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2016-10-26T09:10:00Z</cp:lastPrinted>
  <dcterms:created xsi:type="dcterms:W3CDTF">2021-08-23T07:58:00Z</dcterms:created>
  <dcterms:modified xsi:type="dcterms:W3CDTF">2022-12-23T11:08:00Z</dcterms:modified>
</cp:coreProperties>
</file>