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76ADD">
        <w:rPr>
          <w:rFonts w:ascii="Verdana" w:hAnsi="Verdana"/>
          <w:b/>
          <w:sz w:val="20"/>
        </w:rPr>
        <w:t xml:space="preserve"> </w:t>
      </w:r>
      <w:r w:rsidR="00707557">
        <w:rPr>
          <w:rFonts w:ascii="Verdana" w:hAnsi="Verdana"/>
          <w:b/>
          <w:sz w:val="20"/>
        </w:rPr>
        <w:t xml:space="preserve">купли-продажи </w:t>
      </w:r>
      <w:r w:rsidR="00B27E6B">
        <w:rPr>
          <w:rFonts w:ascii="Verdana" w:hAnsi="Verdana"/>
          <w:b/>
          <w:sz w:val="20"/>
        </w:rPr>
        <w:t xml:space="preserve">недвижимого </w:t>
      </w:r>
      <w:r w:rsidR="00707557">
        <w:rPr>
          <w:rFonts w:ascii="Verdana" w:hAnsi="Verdana"/>
          <w:b/>
          <w:sz w:val="20"/>
        </w:rPr>
        <w:t>имущества</w:t>
      </w: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376ADD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3979" w:rsidRPr="008509DF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:rsidTr="00CC3B0A"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376ADD" w:rsidRPr="00224F8A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6AD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76ADD" w:rsidRPr="00224F8A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224F8A" w:rsidTr="00376ADD">
        <w:tc>
          <w:tcPr>
            <w:tcW w:w="9498" w:type="dxa"/>
          </w:tcPr>
          <w:p w:rsidR="00376ADD" w:rsidRPr="00224F8A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224F8A" w:rsidTr="00376ADD">
        <w:trPr>
          <w:trHeight w:val="224"/>
        </w:trPr>
        <w:tc>
          <w:tcPr>
            <w:tcW w:w="9498" w:type="dxa"/>
          </w:tcPr>
          <w:p w:rsidR="00376ADD" w:rsidRPr="00224F8A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28544D" w:rsidRPr="00224F8A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70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785505" w:rsidRDefault="00BD7FC5" w:rsidP="00785505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 и оплатить</w:t>
      </w:r>
      <w:r w:rsidR="00785505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:rsidR="00246FAD" w:rsidRDefault="00C942EB" w:rsidP="00B10C45">
      <w:pPr>
        <w:pStyle w:val="af8"/>
        <w:spacing w:before="0" w:beforeAutospacing="0" w:after="0" w:afterAutospacing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/>
          <w:kern w:val="24"/>
          <w:sz w:val="20"/>
          <w:szCs w:val="20"/>
        </w:rPr>
        <w:t>Н</w:t>
      </w:r>
      <w:r w:rsidRPr="00E76C3A">
        <w:rPr>
          <w:rFonts w:ascii="Verdana" w:eastAsia="Verdana" w:hAnsi="Verdana"/>
          <w:kern w:val="24"/>
          <w:sz w:val="20"/>
          <w:szCs w:val="20"/>
        </w:rPr>
        <w:t>аименование: кинотеатр</w:t>
      </w:r>
      <w:r>
        <w:rPr>
          <w:rFonts w:ascii="Verdana" w:eastAsia="Verdana" w:hAnsi="Verdana"/>
          <w:kern w:val="24"/>
          <w:sz w:val="20"/>
          <w:szCs w:val="20"/>
        </w:rPr>
        <w:t xml:space="preserve"> имени Йывана Кырля</w:t>
      </w:r>
      <w:r w:rsidRPr="00E76C3A">
        <w:rPr>
          <w:rFonts w:ascii="Verdana" w:eastAsia="Verdana" w:hAnsi="Verdana"/>
          <w:kern w:val="24"/>
          <w:sz w:val="20"/>
          <w:szCs w:val="20"/>
        </w:rPr>
        <w:t>; назначение: нежилое здание, площадь 958,1 кв.м., кадастровый номер: 12:10:1670117:735, количество этажей, в том числе подземных этажей: 2, в том числе подземных 1</w:t>
      </w:r>
      <w:r>
        <w:rPr>
          <w:rFonts w:ascii="Verdana" w:eastAsia="Verdana" w:hAnsi="Verdana"/>
          <w:kern w:val="24"/>
          <w:sz w:val="20"/>
          <w:szCs w:val="20"/>
        </w:rPr>
        <w:t>;</w:t>
      </w:r>
      <w:r w:rsidRPr="00E76C3A">
        <w:rPr>
          <w:rFonts w:ascii="Verdana" w:eastAsia="Verdana" w:hAnsi="Verdana"/>
          <w:kern w:val="24"/>
          <w:sz w:val="20"/>
          <w:szCs w:val="20"/>
        </w:rPr>
        <w:t xml:space="preserve"> адрес: Республика Марий Эл, р-н. Сернурский, пгт. Сернур, ул. Комсомольская, д. 7</w:t>
      </w:r>
      <w:r>
        <w:rPr>
          <w:rFonts w:ascii="Verdana" w:eastAsia="Verdana" w:hAnsi="Verdana"/>
          <w:kern w:val="24"/>
          <w:sz w:val="20"/>
          <w:szCs w:val="20"/>
        </w:rPr>
        <w:t xml:space="preserve"> (далее – «</w:t>
      </w:r>
      <w:r w:rsidRPr="00C942EB">
        <w:rPr>
          <w:rFonts w:ascii="Verdana" w:eastAsia="Verdana" w:hAnsi="Verdana"/>
          <w:b/>
          <w:kern w:val="24"/>
          <w:sz w:val="20"/>
          <w:szCs w:val="20"/>
        </w:rPr>
        <w:t>Нежилое здание</w:t>
      </w:r>
      <w:r>
        <w:rPr>
          <w:rFonts w:ascii="Verdana" w:eastAsia="Verdana" w:hAnsi="Verdana"/>
          <w:kern w:val="24"/>
          <w:sz w:val="20"/>
          <w:szCs w:val="20"/>
        </w:rPr>
        <w:t>»), расположенный на</w:t>
      </w:r>
      <w:r w:rsidRPr="00E76C3A">
        <w:rPr>
          <w:rFonts w:ascii="Verdana" w:eastAsia="Verdana" w:hAnsi="Verdana"/>
          <w:kern w:val="24"/>
          <w:sz w:val="20"/>
          <w:szCs w:val="20"/>
        </w:rPr>
        <w:t xml:space="preserve"> земельн</w:t>
      </w:r>
      <w:r>
        <w:rPr>
          <w:rFonts w:ascii="Verdana" w:eastAsia="Verdana" w:hAnsi="Verdana"/>
          <w:kern w:val="24"/>
          <w:sz w:val="20"/>
          <w:szCs w:val="20"/>
        </w:rPr>
        <w:t>ом</w:t>
      </w:r>
      <w:r w:rsidRPr="00E76C3A">
        <w:rPr>
          <w:rFonts w:ascii="Verdana" w:eastAsia="Verdana" w:hAnsi="Verdana"/>
          <w:kern w:val="24"/>
          <w:sz w:val="20"/>
          <w:szCs w:val="20"/>
        </w:rPr>
        <w:t xml:space="preserve"> участк</w:t>
      </w:r>
      <w:r>
        <w:rPr>
          <w:rFonts w:ascii="Verdana" w:eastAsia="Verdana" w:hAnsi="Verdana"/>
          <w:kern w:val="24"/>
          <w:sz w:val="20"/>
          <w:szCs w:val="20"/>
        </w:rPr>
        <w:t>е</w:t>
      </w:r>
      <w:r w:rsidRPr="00E76C3A">
        <w:rPr>
          <w:rFonts w:ascii="Verdana" w:eastAsia="Verdana" w:hAnsi="Verdana"/>
          <w:kern w:val="24"/>
          <w:sz w:val="20"/>
          <w:szCs w:val="20"/>
        </w:rPr>
        <w:t xml:space="preserve">; категория земель: земли населённых пунктов; виды разрешенного использования: </w:t>
      </w:r>
      <w:r w:rsidR="00112B50">
        <w:rPr>
          <w:rFonts w:ascii="Verdana" w:eastAsia="Verdana" w:hAnsi="Verdana"/>
          <w:kern w:val="24"/>
          <w:sz w:val="20"/>
          <w:szCs w:val="20"/>
        </w:rPr>
        <w:t>для размещения торгового центра</w:t>
      </w:r>
      <w:r w:rsidRPr="00E76C3A">
        <w:rPr>
          <w:rFonts w:ascii="Verdana" w:eastAsia="Verdana" w:hAnsi="Verdana"/>
          <w:kern w:val="24"/>
          <w:sz w:val="20"/>
          <w:szCs w:val="20"/>
        </w:rPr>
        <w:t>; площадь: 1097 +/- 23 кв.м.; кадастровый номер: 12:10:1670117:136; адрес: установлено относительно ориентира, расположенного в границах участка, почтовый адрес ориентира: Республика Марий Эл, р-н. Сернурский, пгт. Сернур, ул. Комсомольская, д. 7</w:t>
      </w:r>
      <w:r w:rsidR="002206C7">
        <w:rPr>
          <w:rFonts w:ascii="Verdana" w:hAnsi="Verdana"/>
          <w:sz w:val="20"/>
          <w:szCs w:val="20"/>
        </w:rPr>
        <w:t xml:space="preserve"> (далее – «</w:t>
      </w:r>
      <w:r w:rsidR="002206C7" w:rsidRPr="00B20983">
        <w:rPr>
          <w:rFonts w:ascii="Verdana" w:hAnsi="Verdana"/>
          <w:b/>
          <w:sz w:val="20"/>
          <w:szCs w:val="20"/>
        </w:rPr>
        <w:t>Земельный участок</w:t>
      </w:r>
      <w:r w:rsidR="002206C7">
        <w:rPr>
          <w:rFonts w:ascii="Verdana" w:hAnsi="Verdana"/>
          <w:sz w:val="20"/>
          <w:szCs w:val="20"/>
        </w:rPr>
        <w:t>»)</w:t>
      </w:r>
      <w:r w:rsidR="00246FAD" w:rsidRPr="002206C7">
        <w:rPr>
          <w:rFonts w:ascii="Verdana" w:hAnsi="Verdana"/>
          <w:sz w:val="20"/>
          <w:szCs w:val="20"/>
        </w:rPr>
        <w:t>.</w:t>
      </w:r>
    </w:p>
    <w:p w:rsidR="00171986" w:rsidRDefault="00C942EB" w:rsidP="00205F4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Нежилое здание и Земельный участок</w:t>
      </w:r>
      <w:r w:rsidR="00205F4F">
        <w:rPr>
          <w:rFonts w:ascii="Verdana" w:hAnsi="Verdana" w:cs="Times New Roman"/>
        </w:rPr>
        <w:t xml:space="preserve"> </w:t>
      </w:r>
      <w:r w:rsidR="00171986" w:rsidRPr="002206C7">
        <w:rPr>
          <w:rFonts w:ascii="Verdana" w:hAnsi="Verdana" w:cs="Times New Roman"/>
        </w:rPr>
        <w:t xml:space="preserve">далее </w:t>
      </w:r>
      <w:r w:rsidR="002206C7" w:rsidRPr="002206C7">
        <w:rPr>
          <w:rFonts w:ascii="Verdana" w:hAnsi="Verdana" w:cs="Times New Roman"/>
        </w:rPr>
        <w:t>совместно</w:t>
      </w:r>
      <w:r w:rsidR="00205F4F">
        <w:rPr>
          <w:rFonts w:ascii="Verdana" w:hAnsi="Verdana" w:cs="Times New Roman"/>
        </w:rPr>
        <w:t xml:space="preserve"> имену</w:t>
      </w:r>
      <w:r>
        <w:rPr>
          <w:rFonts w:ascii="Verdana" w:hAnsi="Verdana" w:cs="Times New Roman"/>
        </w:rPr>
        <w:t>ю</w:t>
      </w:r>
      <w:r w:rsidR="00205F4F">
        <w:rPr>
          <w:rFonts w:ascii="Verdana" w:hAnsi="Verdana" w:cs="Times New Roman"/>
        </w:rPr>
        <w:t>тся</w:t>
      </w:r>
      <w:r w:rsidR="00171986" w:rsidRPr="002206C7">
        <w:rPr>
          <w:rFonts w:ascii="Verdana" w:hAnsi="Verdana" w:cs="Times New Roman"/>
        </w:rPr>
        <w:t xml:space="preserve"> «</w:t>
      </w:r>
      <w:r w:rsidR="00E74C5A" w:rsidRPr="002206C7">
        <w:rPr>
          <w:rFonts w:ascii="Verdana" w:hAnsi="Verdana" w:cs="Times New Roman"/>
          <w:b/>
        </w:rPr>
        <w:t>И</w:t>
      </w:r>
      <w:r w:rsidR="00171986" w:rsidRPr="002206C7">
        <w:rPr>
          <w:rFonts w:ascii="Verdana" w:hAnsi="Verdana" w:cs="Times New Roman"/>
          <w:b/>
        </w:rPr>
        <w:t>мущество</w:t>
      </w:r>
      <w:r w:rsidR="00171986" w:rsidRPr="002206C7">
        <w:rPr>
          <w:rFonts w:ascii="Verdana" w:hAnsi="Verdana" w:cs="Times New Roman"/>
        </w:rPr>
        <w:t>».</w:t>
      </w:r>
    </w:p>
    <w:p w:rsidR="00DA18AF" w:rsidRDefault="00DA18AF" w:rsidP="00B27E6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DA18AF">
        <w:rPr>
          <w:rFonts w:ascii="Verdana" w:hAnsi="Verdana"/>
          <w:color w:val="000000" w:themeColor="text1"/>
        </w:rPr>
        <w:t>Нежилое здание принадлежит Продавцу на праве собственности</w:t>
      </w:r>
      <w:r w:rsidR="00B27E6B">
        <w:rPr>
          <w:rFonts w:ascii="Verdana" w:hAnsi="Verdana"/>
          <w:color w:val="000000" w:themeColor="text1"/>
        </w:rPr>
        <w:t>,</w:t>
      </w:r>
      <w:r w:rsidRPr="00DA18AF">
        <w:rPr>
          <w:rFonts w:ascii="Verdana" w:hAnsi="Verdana"/>
          <w:color w:val="000000" w:themeColor="text1"/>
        </w:rPr>
        <w:t xml:space="preserve"> </w:t>
      </w:r>
      <w:r w:rsidRPr="00C942EB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>
        <w:rPr>
          <w:rFonts w:ascii="Verdana" w:hAnsi="Verdana" w:cs="Times New Roman"/>
        </w:rPr>
        <w:t xml:space="preserve">№ </w:t>
      </w:r>
      <w:r w:rsidR="00C942EB" w:rsidRPr="00C942EB">
        <w:rPr>
          <w:rFonts w:ascii="Verdana" w:hAnsi="Verdana" w:cs="Times New Roman"/>
        </w:rPr>
        <w:t>12:10:1670117:735-12/053/2020-26 от 29.04.2020</w:t>
      </w:r>
      <w:r w:rsidRPr="00C942EB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C942EB" w:rsidRPr="00C942EB">
        <w:rPr>
          <w:rFonts w:ascii="Verdana" w:hAnsi="Verdana" w:cs="Times New Roman"/>
        </w:rPr>
        <w:t>01.12.2022 № 99/2022/509899607.</w:t>
      </w:r>
    </w:p>
    <w:p w:rsidR="00C942EB" w:rsidRPr="00C942EB" w:rsidRDefault="00C942EB" w:rsidP="00B27E6B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Земельный участок </w:t>
      </w:r>
      <w:r w:rsidRPr="00DA18AF">
        <w:rPr>
          <w:rFonts w:ascii="Verdana" w:hAnsi="Verdana"/>
          <w:color w:val="000000" w:themeColor="text1"/>
        </w:rPr>
        <w:t>принадлежит Продавцу на праве собственности</w:t>
      </w:r>
      <w:r>
        <w:rPr>
          <w:rFonts w:ascii="Verdana" w:hAnsi="Verdana"/>
          <w:color w:val="000000" w:themeColor="text1"/>
        </w:rPr>
        <w:t xml:space="preserve">, </w:t>
      </w:r>
      <w:r w:rsidR="00112B50" w:rsidRPr="00C942EB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>
        <w:rPr>
          <w:rFonts w:ascii="Verdana" w:hAnsi="Verdana" w:cs="Times New Roman"/>
        </w:rPr>
        <w:t xml:space="preserve">№ </w:t>
      </w:r>
      <w:r w:rsidR="00E939E7" w:rsidRPr="00E939E7">
        <w:rPr>
          <w:rFonts w:ascii="Verdana" w:hAnsi="Verdana" w:cs="Times New Roman"/>
        </w:rPr>
        <w:t>12:10:1670117:136-12/053/2020-26</w:t>
      </w:r>
      <w:r w:rsidR="00E939E7" w:rsidRPr="00E939E7">
        <w:rPr>
          <w:rFonts w:ascii="Verdana" w:hAnsi="Verdana" w:cs="Times New Roman"/>
        </w:rPr>
        <w:t xml:space="preserve"> от 29.04.2020</w:t>
      </w:r>
      <w:r w:rsidR="00112B50" w:rsidRPr="00C942EB">
        <w:rPr>
          <w:rFonts w:ascii="Verdana" w:hAnsi="Verdana" w:cs="Times New Roman"/>
        </w:rPr>
        <w:t>, что подтверждается Выпиской из Единого государственного реестра недвижимости от 01.12.2022 № 99/2022/50</w:t>
      </w:r>
      <w:r w:rsidR="00E939E7">
        <w:rPr>
          <w:rFonts w:ascii="Verdana" w:hAnsi="Verdana" w:cs="Times New Roman"/>
        </w:rPr>
        <w:t>9901899.</w:t>
      </w:r>
    </w:p>
    <w:p w:rsidR="00171986" w:rsidRPr="008509DF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:rsidTr="0034333C">
        <w:tc>
          <w:tcPr>
            <w:tcW w:w="2268" w:type="dxa"/>
          </w:tcPr>
          <w:p w:rsidR="00205F4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:rsidR="000E2F36" w:rsidRPr="008509DF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>
              <w:rPr>
                <w:rFonts w:ascii="Verdana" w:hAnsi="Verdana"/>
                <w:bCs/>
              </w:rPr>
              <w:t>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:rsidTr="0034333C">
        <w:tc>
          <w:tcPr>
            <w:tcW w:w="2268" w:type="dxa"/>
          </w:tcPr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761DF7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1.5. </w:t>
      </w:r>
      <w:r w:rsidRPr="00224F8A">
        <w:rPr>
          <w:rFonts w:ascii="Verdana" w:hAnsi="Verdana"/>
        </w:rPr>
        <w:t xml:space="preserve">На дату подписания Договора </w:t>
      </w:r>
      <w:r w:rsidR="00F32535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>не отчужден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не заложен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в споре и под арестом не состо</w:t>
      </w:r>
      <w:r w:rsidR="00F32535">
        <w:rPr>
          <w:rFonts w:ascii="Verdana" w:hAnsi="Verdana"/>
        </w:rPr>
        <w:t>ит</w:t>
      </w:r>
      <w:r w:rsidRPr="00224F8A">
        <w:rPr>
          <w:rFonts w:ascii="Verdana" w:hAnsi="Verdana"/>
        </w:rPr>
        <w:t>, прав</w:t>
      </w:r>
      <w:r>
        <w:rPr>
          <w:rFonts w:ascii="Verdana" w:hAnsi="Verdana"/>
        </w:rPr>
        <w:t>а</w:t>
      </w:r>
      <w:r w:rsidRPr="00224F8A">
        <w:rPr>
          <w:rFonts w:ascii="Verdana" w:hAnsi="Verdana"/>
        </w:rPr>
        <w:t xml:space="preserve"> на </w:t>
      </w:r>
      <w:r w:rsidR="00F32535">
        <w:rPr>
          <w:rFonts w:ascii="Verdana" w:hAnsi="Verdana"/>
        </w:rPr>
        <w:t xml:space="preserve">Имущество </w:t>
      </w:r>
      <w:r w:rsidRPr="00224F8A">
        <w:rPr>
          <w:rFonts w:ascii="Verdana" w:hAnsi="Verdana"/>
        </w:rPr>
        <w:t>не являются предметом судебного спора</w:t>
      </w:r>
      <w:r>
        <w:rPr>
          <w:rFonts w:ascii="Verdana" w:hAnsi="Verdana"/>
        </w:rPr>
        <w:t>.</w:t>
      </w:r>
    </w:p>
    <w:p w:rsidR="003F012D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</w:rPr>
        <w:t xml:space="preserve">1.6. </w:t>
      </w:r>
      <w:r w:rsidR="003F012D">
        <w:rPr>
          <w:rFonts w:ascii="Verdana" w:hAnsi="Verdana" w:cs="Times New Roman"/>
        </w:rPr>
        <w:t xml:space="preserve">На дату </w:t>
      </w:r>
      <w:r w:rsidR="003F012D" w:rsidRPr="00224F8A">
        <w:rPr>
          <w:rFonts w:ascii="Verdana" w:hAnsi="Verdana"/>
        </w:rPr>
        <w:t xml:space="preserve">подписания Договора </w:t>
      </w:r>
      <w:r w:rsidR="00C04425">
        <w:rPr>
          <w:rFonts w:ascii="Verdana" w:hAnsi="Verdana"/>
        </w:rPr>
        <w:t>Имущество</w:t>
      </w:r>
      <w:r w:rsidR="003F012D" w:rsidRPr="00224F8A">
        <w:rPr>
          <w:rFonts w:ascii="Verdana" w:hAnsi="Verdana"/>
        </w:rPr>
        <w:t xml:space="preserve"> не</w:t>
      </w:r>
      <w:r w:rsidR="00B27E6B">
        <w:rPr>
          <w:rFonts w:ascii="Verdana" w:hAnsi="Verdana"/>
        </w:rPr>
        <w:t xml:space="preserve"> обременено правами третьих лиц</w:t>
      </w:r>
      <w:r w:rsidR="003F012D">
        <w:rPr>
          <w:rFonts w:ascii="Verdana" w:hAnsi="Verdana" w:cs="Times New Roman"/>
          <w:color w:val="000000" w:themeColor="text1"/>
        </w:rPr>
        <w:t>.</w:t>
      </w:r>
    </w:p>
    <w:p w:rsidR="00930C3B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Times New Roman"/>
          <w:color w:val="000000" w:themeColor="text1"/>
        </w:rPr>
        <w:t xml:space="preserve">1.7.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</w:t>
      </w:r>
      <w:r w:rsidRPr="009B5BDF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05F4F" w:rsidRPr="009B5BDF">
        <w:rPr>
          <w:rFonts w:ascii="Verdana" w:hAnsi="Verdana" w:cs="Verdana"/>
          <w:color w:val="000000"/>
        </w:rPr>
        <w:t>И</w:t>
      </w:r>
      <w:r w:rsidRPr="009B5BDF">
        <w:rPr>
          <w:rFonts w:ascii="Verdana" w:hAnsi="Verdana" w:cs="Verdana"/>
          <w:color w:val="000000"/>
        </w:rPr>
        <w:t xml:space="preserve">мущество, изучил документацию на </w:t>
      </w:r>
      <w:r w:rsidR="00205F4F" w:rsidRPr="009B5BDF">
        <w:rPr>
          <w:rFonts w:ascii="Verdana" w:hAnsi="Verdana" w:cs="Verdana"/>
          <w:color w:val="000000"/>
        </w:rPr>
        <w:t>И</w:t>
      </w:r>
      <w:r>
        <w:rPr>
          <w:rFonts w:ascii="Verdana" w:hAnsi="Verdana" w:cs="Verdana"/>
          <w:color w:val="000000"/>
        </w:rPr>
        <w:t>мущество, включая документацию, связанную с Земельн</w:t>
      </w:r>
      <w:r w:rsidR="00B27E6B">
        <w:rPr>
          <w:rFonts w:ascii="Verdana" w:hAnsi="Verdana" w:cs="Verdana"/>
          <w:color w:val="000000"/>
        </w:rPr>
        <w:t>ым</w:t>
      </w:r>
      <w:r>
        <w:rPr>
          <w:rFonts w:ascii="Verdana" w:hAnsi="Verdana" w:cs="Verdana"/>
          <w:color w:val="000000"/>
        </w:rPr>
        <w:t xml:space="preserve"> участк</w:t>
      </w:r>
      <w:r w:rsidR="00B27E6B">
        <w:rPr>
          <w:rFonts w:ascii="Verdana" w:hAnsi="Verdana" w:cs="Verdana"/>
          <w:color w:val="000000"/>
        </w:rPr>
        <w:t>ом</w:t>
      </w:r>
      <w:r>
        <w:rPr>
          <w:rFonts w:ascii="Verdana" w:hAnsi="Verdana" w:cs="Verdana"/>
          <w:color w:val="000000"/>
        </w:rPr>
        <w:t>, не обнаружил каких-либо существенных дефектов и недостатков</w:t>
      </w:r>
      <w:r w:rsidRPr="002206C7">
        <w:rPr>
          <w:rFonts w:ascii="Verdana" w:hAnsi="Verdana" w:cs="Verdana"/>
          <w:color w:val="000000"/>
        </w:rPr>
        <w:t xml:space="preserve">, </w:t>
      </w:r>
      <w:r w:rsidRPr="002206C7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2206C7">
        <w:rPr>
          <w:rFonts w:ascii="Verdana" w:hAnsi="Verdana" w:cs="Verdana"/>
          <w:color w:val="000000"/>
        </w:rPr>
        <w:t xml:space="preserve">, которые могли бы повлиять на решение о покупке и цене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>мущества</w:t>
      </w:r>
      <w:r>
        <w:rPr>
          <w:rFonts w:ascii="Verdana" w:hAnsi="Verdana" w:cs="Verdana"/>
          <w:color w:val="000000"/>
        </w:rPr>
        <w:t>. Имущество соответству</w:t>
      </w:r>
      <w:r w:rsidR="00B27E6B">
        <w:rPr>
          <w:rFonts w:ascii="Verdana" w:hAnsi="Verdana" w:cs="Verdana"/>
          <w:color w:val="000000"/>
        </w:rPr>
        <w:t>е</w:t>
      </w:r>
      <w:r>
        <w:rPr>
          <w:rFonts w:ascii="Verdana" w:hAnsi="Verdana" w:cs="Verdana"/>
          <w:color w:val="000000"/>
        </w:rPr>
        <w:t>т требованиям Покупателя,</w:t>
      </w:r>
      <w:r w:rsidRPr="002206C7">
        <w:rPr>
          <w:rFonts w:ascii="Verdana" w:hAnsi="Verdana" w:cs="Verdana"/>
          <w:color w:val="000000"/>
        </w:rPr>
        <w:t xml:space="preserve"> претензий по состоянию, качеству и характеристикам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 xml:space="preserve">мущества, </w:t>
      </w:r>
      <w:r w:rsidR="001116FB">
        <w:rPr>
          <w:rFonts w:ascii="Verdana" w:hAnsi="Verdana" w:cs="Verdana"/>
          <w:color w:val="000000"/>
        </w:rPr>
        <w:t>к документации на Имущество</w:t>
      </w:r>
      <w:r w:rsidR="00D94A0B">
        <w:rPr>
          <w:rFonts w:ascii="Verdana" w:hAnsi="Verdana" w:cs="Verdana"/>
          <w:color w:val="000000"/>
        </w:rPr>
        <w:t xml:space="preserve"> </w:t>
      </w:r>
      <w:r w:rsidRPr="002206C7">
        <w:rPr>
          <w:rFonts w:ascii="Verdana" w:hAnsi="Verdana" w:cs="Verdana"/>
          <w:color w:val="000000"/>
        </w:rPr>
        <w:t>Покупатель к Продавцу</w:t>
      </w:r>
      <w:r>
        <w:rPr>
          <w:rFonts w:ascii="Verdana" w:hAnsi="Verdana" w:cs="Verdana"/>
          <w:color w:val="000000"/>
        </w:rPr>
        <w:t xml:space="preserve"> не имеет. </w:t>
      </w:r>
      <w:r w:rsidR="00405593">
        <w:rPr>
          <w:rFonts w:ascii="Verdana" w:hAnsi="Verdana" w:cs="Verdana"/>
          <w:color w:val="000000"/>
        </w:rPr>
        <w:t xml:space="preserve">Покупатель осознает, что </w:t>
      </w:r>
      <w:r w:rsidR="00405593" w:rsidRPr="00F60CE3">
        <w:rPr>
          <w:rFonts w:ascii="Verdana" w:hAnsi="Verdana" w:cs="Verdana"/>
          <w:color w:val="000000"/>
        </w:rPr>
        <w:t xml:space="preserve">фактическое состояние </w:t>
      </w:r>
      <w:r w:rsidR="00405593">
        <w:rPr>
          <w:rFonts w:ascii="Verdana" w:hAnsi="Verdana" w:cs="Verdana"/>
          <w:color w:val="000000"/>
        </w:rPr>
        <w:t>Имущества</w:t>
      </w:r>
      <w:r w:rsidR="00405593" w:rsidRPr="00F60CE3">
        <w:rPr>
          <w:rFonts w:ascii="Verdana" w:hAnsi="Verdana" w:cs="Verdana"/>
          <w:color w:val="000000"/>
        </w:rPr>
        <w:t xml:space="preserve"> может потребовать проведение мероприятий, связанных с</w:t>
      </w:r>
      <w:r w:rsidR="00405593"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="00405593"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 w:rsidR="00405593"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0D1D11">
        <w:rPr>
          <w:rFonts w:ascii="Verdana" w:hAnsi="Verdana" w:cs="Verdana"/>
          <w:color w:val="000000"/>
        </w:rPr>
        <w:t>.</w:t>
      </w:r>
    </w:p>
    <w:p w:rsidR="000D1D11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</w:p>
    <w:p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3F612D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="003F612D" w:rsidRPr="003F612D">
        <w:rPr>
          <w:rFonts w:ascii="Verdana" w:hAnsi="Verdana"/>
        </w:rPr>
        <w:t>_______________ (__________________) рублей ___ копеек</w:t>
      </w:r>
      <w:r w:rsidR="003F612D">
        <w:rPr>
          <w:rFonts w:ascii="Verdana" w:hAnsi="Verdana"/>
        </w:rPr>
        <w:t>, в том числе:</w:t>
      </w:r>
    </w:p>
    <w:p w:rsidR="00B27E6B" w:rsidRPr="00B27E6B" w:rsidRDefault="00B27E6B" w:rsidP="00AA309A">
      <w:pPr>
        <w:pStyle w:val="a5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Verdana" w:hAnsi="Verdana" w:cs="Arial"/>
        </w:rPr>
      </w:pPr>
      <w:r w:rsidRPr="00B27E6B">
        <w:rPr>
          <w:rFonts w:ascii="Verdana" w:hAnsi="Verdana"/>
        </w:rPr>
        <w:t xml:space="preserve">Цена Нежилого здания составляет </w:t>
      </w:r>
      <w:r w:rsidRPr="00B27E6B">
        <w:rPr>
          <w:rFonts w:ascii="Verdana" w:hAnsi="Verdana"/>
        </w:rPr>
        <w:t>________________ (__________________) рублей ___ копеек, в том числе</w:t>
      </w:r>
      <w:r w:rsidRPr="00B27E6B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Pr="00B27E6B">
        <w:rPr>
          <w:rFonts w:ascii="Verdana" w:hAnsi="Verdana" w:cs="Arial"/>
        </w:rPr>
        <w:t>.</w:t>
      </w:r>
    </w:p>
    <w:p w:rsidR="003F612D" w:rsidRDefault="00B27E6B" w:rsidP="00AA309A">
      <w:pPr>
        <w:pStyle w:val="a5"/>
        <w:widowControl w:val="0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Земельного участка составляет </w:t>
      </w:r>
      <w:r w:rsidR="00AA309A" w:rsidRPr="003F612D">
        <w:rPr>
          <w:rFonts w:ascii="Verdana" w:hAnsi="Verdana"/>
        </w:rPr>
        <w:t>_______________ (__________________) рублей ___ копеек</w:t>
      </w:r>
      <w:r w:rsidR="000C2297">
        <w:rPr>
          <w:rFonts w:ascii="Verdana" w:hAnsi="Verdana"/>
        </w:rPr>
        <w:t xml:space="preserve">, </w:t>
      </w:r>
      <w:r w:rsidR="00AA309A" w:rsidRPr="00385675">
        <w:rPr>
          <w:rFonts w:ascii="Verdana" w:hAnsi="Verdana" w:cs="Arial"/>
        </w:rPr>
        <w:t>НДС не облагается на основании пп.6 п.2 ст.146 Налогового кодекса Российской Федерации</w:t>
      </w:r>
      <w:r w:rsidR="00AA309A">
        <w:rPr>
          <w:rFonts w:ascii="Verdana" w:hAnsi="Verdana" w:cs="Arial"/>
        </w:rPr>
        <w:t>.</w:t>
      </w:r>
    </w:p>
    <w:p w:rsidR="00376ADD" w:rsidRDefault="00376ADD" w:rsidP="00CB6199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C131F7" w:rsidRPr="0018779F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</w:t>
      </w:r>
      <w:r w:rsidRPr="0018779F">
        <w:rPr>
          <w:rFonts w:ascii="Verdana" w:hAnsi="Verdana"/>
          <w:sz w:val="20"/>
          <w:szCs w:val="20"/>
        </w:rPr>
        <w:t xml:space="preserve">.1.1. </w:t>
      </w:r>
      <w:r w:rsidR="00F32535">
        <w:rPr>
          <w:rFonts w:ascii="Verdana" w:hAnsi="Verdana" w:cs="Arial"/>
          <w:sz w:val="20"/>
          <w:szCs w:val="20"/>
        </w:rPr>
        <w:t>И</w:t>
      </w:r>
      <w:r w:rsidRPr="0018779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p w:rsidR="00A24FDA" w:rsidRPr="0018779F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18779F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18779F">
        <w:rPr>
          <w:rFonts w:ascii="Verdana" w:hAnsi="Verdana" w:cs="Arial"/>
          <w:sz w:val="20"/>
          <w:szCs w:val="20"/>
        </w:rPr>
        <w:t>мме __</w:t>
      </w:r>
      <w:r w:rsidRPr="0018779F">
        <w:rPr>
          <w:rFonts w:ascii="Verdana" w:hAnsi="Verdana" w:cs="Arial"/>
          <w:sz w:val="20"/>
          <w:szCs w:val="20"/>
        </w:rPr>
        <w:t>________________ руб</w:t>
      </w:r>
      <w:r w:rsidR="00CA521C">
        <w:rPr>
          <w:rFonts w:ascii="Verdana" w:hAnsi="Verdana" w:cs="Arial"/>
          <w:sz w:val="20"/>
          <w:szCs w:val="20"/>
        </w:rPr>
        <w:t>лей</w:t>
      </w:r>
      <w:r w:rsidRPr="0018779F">
        <w:rPr>
          <w:rFonts w:ascii="Verdana" w:hAnsi="Verdana" w:cs="Arial"/>
          <w:sz w:val="20"/>
          <w:szCs w:val="20"/>
        </w:rPr>
        <w:t xml:space="preserve"> ________ коп</w:t>
      </w:r>
      <w:r w:rsidR="00CA521C">
        <w:rPr>
          <w:rFonts w:ascii="Verdana" w:hAnsi="Verdana" w:cs="Arial"/>
          <w:sz w:val="20"/>
          <w:szCs w:val="20"/>
        </w:rPr>
        <w:t>еек</w:t>
      </w:r>
      <w:r w:rsidRPr="0018779F">
        <w:rPr>
          <w:rFonts w:ascii="Verdana" w:hAnsi="Verdana" w:cs="Arial"/>
          <w:sz w:val="20"/>
          <w:szCs w:val="20"/>
        </w:rPr>
        <w:t xml:space="preserve"> </w:t>
      </w:r>
      <w:r w:rsidR="00AA309A" w:rsidRPr="00CA521C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</w:t>
      </w:r>
      <w:r w:rsidR="00AA309A">
        <w:rPr>
          <w:rFonts w:ascii="Verdana" w:hAnsi="Verdana"/>
          <w:sz w:val="20"/>
          <w:szCs w:val="20"/>
        </w:rPr>
        <w:t xml:space="preserve"> Российской Федерации</w:t>
      </w:r>
      <w:r w:rsidR="00AA309A" w:rsidRPr="00CA521C">
        <w:rPr>
          <w:rFonts w:ascii="Verdana" w:hAnsi="Verdana"/>
          <w:sz w:val="20"/>
          <w:szCs w:val="20"/>
        </w:rPr>
        <w:t>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8779F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18779F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:rsidR="00E9151F" w:rsidRPr="0018779F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>и</w:t>
            </w:r>
            <w:r w:rsidR="00C93629">
              <w:rPr>
                <w:rFonts w:ascii="Verdana" w:hAnsi="Verdana" w:cs="Arial"/>
                <w:sz w:val="20"/>
                <w:szCs w:val="20"/>
              </w:rPr>
              <w:t>/или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0DA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>
              <w:rPr>
                <w:rFonts w:ascii="Verdana" w:hAnsi="Verdana" w:cs="Arial"/>
                <w:sz w:val="20"/>
                <w:szCs w:val="20"/>
              </w:rPr>
              <w:t>лей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>
              <w:rPr>
                <w:rFonts w:ascii="Verdana" w:hAnsi="Verdana" w:cs="Arial"/>
                <w:sz w:val="20"/>
                <w:szCs w:val="20"/>
              </w:rPr>
              <w:t>еек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CA521C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AA309A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AA309A" w:rsidRPr="00CA521C">
              <w:rPr>
                <w:rFonts w:ascii="Verdana" w:hAnsi="Verdana"/>
                <w:sz w:val="20"/>
                <w:szCs w:val="20"/>
              </w:rPr>
              <w:t>)</w:t>
            </w:r>
            <w:r w:rsidR="00AA309A"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>
              <w:rPr>
                <w:rFonts w:ascii="Verdana" w:hAnsi="Verdana" w:cs="Arial"/>
                <w:sz w:val="20"/>
                <w:szCs w:val="20"/>
              </w:rPr>
              <w:t>–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9B5635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18779F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18779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9E1E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18779F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>
              <w:rPr>
                <w:rFonts w:ascii="Verdana" w:hAnsi="Verdana" w:cs="Arial"/>
                <w:sz w:val="20"/>
                <w:szCs w:val="20"/>
              </w:rPr>
              <w:t>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>
              <w:rPr>
                <w:rFonts w:ascii="Verdana" w:hAnsi="Verdana" w:cs="Arial"/>
                <w:sz w:val="20"/>
                <w:szCs w:val="20"/>
              </w:rPr>
              <w:t>ода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>
              <w:rPr>
                <w:rFonts w:ascii="Verdana" w:hAnsi="Verdana" w:cs="Arial"/>
                <w:sz w:val="20"/>
                <w:szCs w:val="20"/>
              </w:rPr>
              <w:t>№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7236E7" w:rsidRPr="0018779F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B64B5C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2773F0">
        <w:rPr>
          <w:rFonts w:ascii="Verdana" w:hAnsi="Verdana"/>
          <w:color w:val="000000"/>
        </w:rPr>
        <w:t xml:space="preserve">Сумма в размере </w:t>
      </w:r>
      <w:r>
        <w:rPr>
          <w:rFonts w:ascii="Verdana" w:hAnsi="Verdana"/>
        </w:rPr>
        <w:t>358 400</w:t>
      </w:r>
      <w:r w:rsidRPr="003107BF">
        <w:rPr>
          <w:rFonts w:ascii="Verdana" w:hAnsi="Verdana"/>
        </w:rPr>
        <w:t xml:space="preserve"> (</w:t>
      </w:r>
      <w:r>
        <w:rPr>
          <w:rFonts w:ascii="Verdana" w:hAnsi="Verdana"/>
        </w:rPr>
        <w:t>Триста пятьдесят восемь тысяч четыреста</w:t>
      </w:r>
      <w:r w:rsidRPr="003107BF">
        <w:rPr>
          <w:rFonts w:ascii="Verdana" w:hAnsi="Verdana"/>
        </w:rPr>
        <w:t>) рубл</w:t>
      </w:r>
      <w:r w:rsidR="000C2297">
        <w:rPr>
          <w:rFonts w:ascii="Verdana" w:hAnsi="Verdana"/>
        </w:rPr>
        <w:t>ей</w:t>
      </w:r>
      <w:r w:rsidRPr="003107BF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 xml:space="preserve"> Российской Федерации</w:t>
      </w:r>
      <w:r w:rsidR="000C2297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форме по продаже имущества Продавца, засчитывается в счет оплаты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>мущества</w:t>
      </w:r>
      <w:r>
        <w:rPr>
          <w:rFonts w:ascii="Verdana" w:hAnsi="Verdana"/>
          <w:color w:val="000000"/>
        </w:rPr>
        <w:t>, указанной в п.2.1 Договора</w:t>
      </w:r>
      <w:r w:rsidRPr="002773F0">
        <w:rPr>
          <w:rFonts w:ascii="Verdana" w:hAnsi="Verdana"/>
        </w:rPr>
        <w:t>.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2773F0">
        <w:rPr>
          <w:rFonts w:ascii="Verdana" w:hAnsi="Verdana"/>
          <w:color w:val="000000"/>
        </w:rPr>
        <w:t xml:space="preserve">Оставшаяся часть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 xml:space="preserve">мущества в размере ____ (______) рублей _____ копеек </w:t>
      </w:r>
      <w:r w:rsidRPr="00CA521C">
        <w:rPr>
          <w:rFonts w:ascii="Verdana" w:hAnsi="Verdana"/>
        </w:rPr>
        <w:t>(в том числе НДС, исчисленный в соответствии с действующим законодательством</w:t>
      </w:r>
      <w:r>
        <w:rPr>
          <w:rFonts w:ascii="Verdana" w:hAnsi="Verdana"/>
        </w:rPr>
        <w:t xml:space="preserve"> Российской Федерации</w:t>
      </w:r>
      <w:r w:rsidRPr="00CA521C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7236E7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:rsidR="00AB5223" w:rsidRPr="008509DF" w:rsidRDefault="00CA521C" w:rsidP="007236E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Десяти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A521C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CA521C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>)</w:t>
            </w:r>
            <w:r w:rsidR="00BF736E" w:rsidRPr="00CA521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:rsidTr="00921B0E">
        <w:tc>
          <w:tcPr>
            <w:tcW w:w="2268" w:type="dxa"/>
            <w:shd w:val="clear" w:color="auto" w:fill="auto"/>
          </w:tcPr>
          <w:p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B71921" w:rsidRPr="008076AD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10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236E7">
              <w:rPr>
                <w:rFonts w:ascii="Verdana" w:hAnsi="Verdana"/>
                <w:sz w:val="20"/>
                <w:szCs w:val="20"/>
              </w:rPr>
              <w:t>Десяти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мущества в размере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7236E7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>)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.</w:t>
            </w:r>
          </w:p>
          <w:p w:rsidR="001E2875" w:rsidRPr="008509DF" w:rsidRDefault="00FF601A" w:rsidP="00AA309A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7236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:rsidR="001E5436" w:rsidRPr="008076AD" w:rsidRDefault="007236E7" w:rsidP="00AA309A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3107B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3107BF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3107BF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:rsidTr="00921B0E">
        <w:tc>
          <w:tcPr>
            <w:tcW w:w="2586" w:type="dxa"/>
            <w:shd w:val="clear" w:color="auto" w:fill="auto"/>
          </w:tcPr>
          <w:p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8509DF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числе с использованием кредитных средств)  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C135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Имущество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B5635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E1E91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C13567">
              <w:rPr>
                <w:rFonts w:ascii="Verdana" w:hAnsi="Verdana"/>
              </w:rPr>
              <w:t>с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9B5635">
              <w:rPr>
                <w:rFonts w:ascii="Verdana" w:hAnsi="Verdana"/>
              </w:rPr>
              <w:t>10 (Д</w:t>
            </w:r>
            <w:r w:rsidR="000A1317" w:rsidRPr="009B5635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9B5635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:rsidR="009E1E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:rsidR="000A1317" w:rsidRPr="008509DF" w:rsidRDefault="009E1E91" w:rsidP="00C13567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</w:t>
            </w:r>
            <w:r w:rsidR="009F6DC8">
              <w:rPr>
                <w:rFonts w:ascii="Verdana" w:hAnsi="Verdana"/>
              </w:rPr>
              <w:t>К</w:t>
            </w:r>
            <w:r>
              <w:rPr>
                <w:rFonts w:ascii="Verdana" w:hAnsi="Verdana"/>
              </w:rPr>
              <w:t xml:space="preserve">редитующего </w:t>
            </w:r>
            <w:r w:rsidR="009F6DC8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C13567">
              <w:rPr>
                <w:rFonts w:ascii="Verdana" w:hAnsi="Verdana"/>
              </w:rPr>
              <w:t>Имущество</w:t>
            </w:r>
            <w:r w:rsidR="009F6DC8">
              <w:rPr>
                <w:rFonts w:ascii="Verdana" w:hAnsi="Verdana"/>
              </w:rPr>
              <w:t xml:space="preserve">. Имущество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C13567">
              <w:rPr>
                <w:rFonts w:ascii="Verdana" w:hAnsi="Verdana"/>
              </w:rPr>
              <w:t>Имущество</w:t>
            </w:r>
            <w:r w:rsidR="009F6DC8">
              <w:rPr>
                <w:rFonts w:ascii="Verdana" w:hAnsi="Verdana"/>
              </w:rPr>
              <w:t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Имущества в полном объеме (п.5 ст.488 ГК РФ)</w:t>
            </w:r>
            <w:r w:rsidR="009B5635">
              <w:rPr>
                <w:rFonts w:ascii="Verdana" w:hAnsi="Verdana"/>
              </w:rPr>
              <w:t xml:space="preserve"> </w:t>
            </w:r>
            <w:r w:rsidR="009B5635"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Имущества с использованием кредитных средств). </w:t>
            </w:r>
          </w:p>
        </w:tc>
      </w:tr>
      <w:tr w:rsidR="000A1317" w:rsidRPr="008509DF" w:rsidTr="00921B0E">
        <w:tc>
          <w:tcPr>
            <w:tcW w:w="2586" w:type="dxa"/>
            <w:shd w:val="clear" w:color="auto" w:fill="auto"/>
          </w:tcPr>
          <w:p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672CCD" w:rsidRDefault="008F55DE" w:rsidP="003107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8076AD" w:rsidRDefault="00B14899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>
        <w:rPr>
          <w:rFonts w:ascii="Verdana" w:hAnsi="Verdana"/>
        </w:rPr>
        <w:t>«</w:t>
      </w:r>
      <w:r w:rsidR="000F3D1D" w:rsidRPr="00B14899">
        <w:rPr>
          <w:rFonts w:ascii="Verdana" w:hAnsi="Verdana"/>
          <w:b/>
        </w:rPr>
        <w:t>Акт приема-передачи</w:t>
      </w:r>
      <w:r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B14899">
        <w:rPr>
          <w:rFonts w:ascii="Verdana" w:hAnsi="Verdana"/>
        </w:rPr>
        <w:t>в течение</w:t>
      </w:r>
      <w:r>
        <w:rPr>
          <w:rFonts w:ascii="Verdana" w:hAnsi="Verdana"/>
        </w:rPr>
        <w:t xml:space="preserve"> 5</w:t>
      </w:r>
      <w:r w:rsidR="002C1077" w:rsidRPr="00B14899">
        <w:rPr>
          <w:rFonts w:ascii="Verdana" w:hAnsi="Verdana"/>
        </w:rPr>
        <w:t xml:space="preserve"> (</w:t>
      </w:r>
      <w:r>
        <w:rPr>
          <w:rFonts w:ascii="Verdana" w:hAnsi="Verdana"/>
        </w:rPr>
        <w:t>Пяти</w:t>
      </w:r>
      <w:r w:rsidR="002C1077" w:rsidRPr="00B1489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>
        <w:rPr>
          <w:rFonts w:ascii="Verdana" w:hAnsi="Verdana"/>
        </w:rPr>
        <w:t xml:space="preserve"> с даты </w:t>
      </w:r>
      <w:r w:rsidR="007376A9">
        <w:rPr>
          <w:rFonts w:ascii="Verdana" w:hAnsi="Verdana"/>
        </w:rPr>
        <w:t xml:space="preserve">государственной </w:t>
      </w:r>
      <w:r>
        <w:rPr>
          <w:rFonts w:ascii="Verdana" w:hAnsi="Verdana"/>
        </w:rPr>
        <w:t xml:space="preserve">регистрации перехода права собственности на </w:t>
      </w:r>
      <w:r w:rsidR="00C13567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от Продавца к Покупателю.</w:t>
      </w:r>
      <w:r w:rsidR="002C1077" w:rsidRPr="008076AD">
        <w:rPr>
          <w:rFonts w:ascii="Verdana" w:hAnsi="Verdana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4.1.1. Передать Покупателю в собственность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8509DF" w:rsidTr="00E44495">
        <w:trPr>
          <w:trHeight w:val="693"/>
        </w:trPr>
        <w:tc>
          <w:tcPr>
            <w:tcW w:w="2161" w:type="dxa"/>
            <w:shd w:val="clear" w:color="auto" w:fill="auto"/>
          </w:tcPr>
          <w:p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211F7A" w:rsidRPr="008509DF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5484B" w:rsidRPr="00B63889" w:rsidRDefault="0055484B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8509DF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FE1694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.2.1. Уплатить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Продавцу ц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ену 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FE1694" w:rsidRPr="00FE169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Уплатить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FE169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FE1694" w:rsidRPr="008076AD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к Покупателю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</w:t>
      </w:r>
      <w:r w:rsidR="00BC3F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оплату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налога на имущество и земельного налога</w:t>
      </w:r>
      <w:r w:rsidR="00BC3F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 оплату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налога на имущество и земельного налога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1F409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:rsidR="001F409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4.2.7. 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Имущества, в том числе ремонт, перепланировку, реконструкцию, межевание, снос и т.п., до </w:t>
      </w:r>
      <w:r w:rsidR="00562092" w:rsidRPr="00270E8B">
        <w:rPr>
          <w:rFonts w:ascii="Verdana" w:eastAsia="Calibri" w:hAnsi="Verdana"/>
          <w:sz w:val="20"/>
          <w:szCs w:val="20"/>
        </w:rPr>
        <w:t xml:space="preserve">оплаты цены </w:t>
      </w:r>
      <w:r w:rsidR="00562092">
        <w:rPr>
          <w:rFonts w:ascii="Verdana" w:eastAsia="Calibri" w:hAnsi="Verdana"/>
          <w:sz w:val="20"/>
          <w:szCs w:val="20"/>
        </w:rPr>
        <w:t>Имущества</w:t>
      </w:r>
      <w:r w:rsidR="00562092" w:rsidRPr="00270E8B">
        <w:rPr>
          <w:rFonts w:ascii="Verdana" w:eastAsia="Calibri" w:hAnsi="Verdana"/>
          <w:sz w:val="20"/>
          <w:szCs w:val="20"/>
        </w:rPr>
        <w:t xml:space="preserve"> в соответствии с п.2.2, 2.3 Договора в полном объеме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собственности 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580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телю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:rsidR="00CE77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80C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02" w:type="dxa"/>
          </w:tcPr>
          <w:p w:rsidR="00580C14" w:rsidRPr="00580C14" w:rsidRDefault="00580C14" w:rsidP="00A6414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пост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C135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="00C13567" w:rsidRPr="00C13567">
              <w:rPr>
                <w:rFonts w:ascii="Verdana" w:hAnsi="Verdana"/>
                <w:sz w:val="20"/>
                <w:szCs w:val="20"/>
              </w:rPr>
              <w:t>_____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6D1867">
        <w:trPr>
          <w:trHeight w:val="3907"/>
        </w:trPr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8034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80C14">
              <w:rPr>
                <w:rFonts w:ascii="Verdana" w:hAnsi="Verdana"/>
                <w:sz w:val="20"/>
                <w:szCs w:val="20"/>
              </w:rPr>
              <w:t>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6.1. 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Имущества (части цены Имущества)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предусмотренных п. 2.2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и компенсации понесенных Продавцом расходов по содержанию Имущества, предусмотренных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 4.2.5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7B458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:rsidR="00617D5E" w:rsidRPr="007B458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7B4588" w:rsidRPr="007B4588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4,8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082A9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B4588" w:rsidRPr="007B4588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2A90">
        <w:rPr>
          <w:rFonts w:ascii="Verdana" w:eastAsia="Times New Roman" w:hAnsi="Verdana" w:cs="Times New Roman"/>
          <w:sz w:val="20"/>
          <w:szCs w:val="20"/>
          <w:lang w:eastAsia="ru-RU"/>
        </w:rPr>
        <w:t>автоматически (без заявления Продавца и/или Покупателя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зачесть указанную в настоящем пункте </w:t>
      </w:r>
      <w:r w:rsidR="00082A90"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>упателю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102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E94C0A" w:rsidRPr="00E94C0A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:rsidR="00E94C0A" w:rsidRPr="00E94C0A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поступление на счет Продавца оплаты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(части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мущества) в размере и сроки, установленные п.2.2 Договора.</w:t>
      </w:r>
    </w:p>
    <w:p w:rsidR="00E94C0A" w:rsidRPr="00E94C0A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:rsidR="00E94C0A" w:rsidRPr="00E94C0A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</w:t>
            </w:r>
            <w:r w:rsidR="003A070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="00405593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__________ 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:rsidR="00E94C0A" w:rsidRPr="0055668A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056D36" w:rsidRPr="00E94C0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55668A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04B9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65632D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:rsidR="00562092" w:rsidRPr="00562092" w:rsidRDefault="0099685B" w:rsidP="000F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D5385" w:rsidRPr="008509DF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:rsidR="00A30CA0" w:rsidRPr="00C76935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1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>
        <w:rPr>
          <w:rFonts w:ascii="Verdana" w:hAnsi="Verdana"/>
          <w:sz w:val="20"/>
          <w:szCs w:val="20"/>
        </w:rPr>
        <w:t xml:space="preserve">недвижимого </w:t>
      </w:r>
      <w:r w:rsidR="00083142" w:rsidRPr="0055668A">
        <w:rPr>
          <w:rFonts w:ascii="Verdana" w:hAnsi="Verdana"/>
          <w:sz w:val="20"/>
          <w:szCs w:val="20"/>
        </w:rPr>
        <w:t xml:space="preserve">имущества от </w:t>
      </w:r>
      <w:r w:rsidR="00083142" w:rsidRPr="0065632D">
        <w:rPr>
          <w:rFonts w:ascii="Verdana" w:hAnsi="Verdana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65632D">
        <w:rPr>
          <w:rFonts w:ascii="Verdana" w:hAnsi="Verdana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:rsidR="0065632D" w:rsidRPr="00942378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Условия аккредитива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 xml:space="preserve">. 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5668A" w:rsidTr="0065632D">
        <w:tc>
          <w:tcPr>
            <w:tcW w:w="7363" w:type="dxa"/>
          </w:tcPr>
          <w:p w:rsidR="0065632D" w:rsidRPr="0055668A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8509DF" w:rsidTr="00942378">
        <w:tc>
          <w:tcPr>
            <w:tcW w:w="8055" w:type="dxa"/>
            <w:shd w:val="clear" w:color="auto" w:fill="auto"/>
          </w:tcPr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942378" w:rsidTr="00942378">
              <w:tc>
                <w:tcPr>
                  <w:tcW w:w="4715" w:type="dxa"/>
                  <w:shd w:val="clear" w:color="auto" w:fill="auto"/>
                </w:tcPr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:rsidR="00F2715D" w:rsidRPr="00F2715D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F2715D" w:rsidRPr="00F2715D">
                    <w:rPr>
                      <w:rFonts w:ascii="Verdana" w:hAnsi="Verdana"/>
                      <w:sz w:val="20"/>
                      <w:szCs w:val="20"/>
                    </w:rPr>
                    <w:t xml:space="preserve"> 121151, г. Москва, ул. Можайский Вал, д. 8</w:t>
                  </w:r>
                </w:p>
                <w:p w:rsidR="00942378" w:rsidRPr="00942378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F2715D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42378" w:rsidRPr="008509DF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942378" w:rsidRPr="008509DF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942378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3F012D" w:rsidRDefault="009A0232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:rsidR="003F012D" w:rsidRDefault="00DD5861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A309A">
        <w:rPr>
          <w:rFonts w:ascii="Verdana" w:hAnsi="Verdana"/>
          <w:sz w:val="20"/>
          <w:szCs w:val="20"/>
        </w:rPr>
        <w:t>1</w:t>
      </w:r>
    </w:p>
    <w:p w:rsidR="00DD5861" w:rsidRPr="008509DF" w:rsidRDefault="00DD5861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:rsidR="00CB719B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8509DF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:rsidTr="00CC3B0A">
              <w:tc>
                <w:tcPr>
                  <w:tcW w:w="6969" w:type="dxa"/>
                </w:tcPr>
                <w:p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B719B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D2ACC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мущество: </w:t>
      </w:r>
    </w:p>
    <w:p w:rsidR="00812ADC" w:rsidRDefault="00812ADC" w:rsidP="00812ADC">
      <w:pPr>
        <w:pStyle w:val="af8"/>
        <w:numPr>
          <w:ilvl w:val="1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/>
          <w:kern w:val="24"/>
          <w:sz w:val="20"/>
          <w:szCs w:val="20"/>
        </w:rPr>
        <w:t>Н</w:t>
      </w:r>
      <w:r w:rsidRPr="00E76C3A">
        <w:rPr>
          <w:rFonts w:ascii="Verdana" w:eastAsia="Verdana" w:hAnsi="Verdana"/>
          <w:kern w:val="24"/>
          <w:sz w:val="20"/>
          <w:szCs w:val="20"/>
        </w:rPr>
        <w:t>аименование: кинотеатр</w:t>
      </w:r>
      <w:r>
        <w:rPr>
          <w:rFonts w:ascii="Verdana" w:eastAsia="Verdana" w:hAnsi="Verdana"/>
          <w:kern w:val="24"/>
          <w:sz w:val="20"/>
          <w:szCs w:val="20"/>
        </w:rPr>
        <w:t xml:space="preserve"> имени Йывана Кырля</w:t>
      </w:r>
      <w:r w:rsidRPr="00E76C3A">
        <w:rPr>
          <w:rFonts w:ascii="Verdana" w:eastAsia="Verdana" w:hAnsi="Verdana"/>
          <w:kern w:val="24"/>
          <w:sz w:val="20"/>
          <w:szCs w:val="20"/>
        </w:rPr>
        <w:t>; назначение: нежилое здание, площадь 958,1 кв.м., кадастровый номер: 12:10:1670117:735, количество этажей, в том числе подземных этажей: 2, в том числе подземных 1</w:t>
      </w:r>
      <w:r>
        <w:rPr>
          <w:rFonts w:ascii="Verdana" w:eastAsia="Verdana" w:hAnsi="Verdana"/>
          <w:kern w:val="24"/>
          <w:sz w:val="20"/>
          <w:szCs w:val="20"/>
        </w:rPr>
        <w:t>;</w:t>
      </w:r>
      <w:r w:rsidRPr="00E76C3A">
        <w:rPr>
          <w:rFonts w:ascii="Verdana" w:eastAsia="Verdana" w:hAnsi="Verdana"/>
          <w:kern w:val="24"/>
          <w:sz w:val="20"/>
          <w:szCs w:val="20"/>
        </w:rPr>
        <w:t xml:space="preserve"> адрес: Республика Марий Эл, р-н. Сернурский, пгт. Сернур, ул. Комсомольская, д. 7</w:t>
      </w:r>
      <w:r>
        <w:rPr>
          <w:rFonts w:ascii="Verdana" w:eastAsia="Verdana" w:hAnsi="Verdana"/>
          <w:kern w:val="24"/>
          <w:sz w:val="20"/>
          <w:szCs w:val="20"/>
        </w:rPr>
        <w:t xml:space="preserve"> (далее – «</w:t>
      </w:r>
      <w:r w:rsidRPr="00C942EB">
        <w:rPr>
          <w:rFonts w:ascii="Verdana" w:eastAsia="Verdana" w:hAnsi="Verdana"/>
          <w:b/>
          <w:kern w:val="24"/>
          <w:sz w:val="20"/>
          <w:szCs w:val="20"/>
        </w:rPr>
        <w:t>Нежилое здание</w:t>
      </w:r>
      <w:r>
        <w:rPr>
          <w:rFonts w:ascii="Verdana" w:eastAsia="Verdana" w:hAnsi="Verdana"/>
          <w:kern w:val="24"/>
          <w:sz w:val="20"/>
          <w:szCs w:val="20"/>
        </w:rPr>
        <w:t>»), расположенный на</w:t>
      </w:r>
      <w:r w:rsidRPr="00E76C3A">
        <w:rPr>
          <w:rFonts w:ascii="Verdana" w:eastAsia="Verdana" w:hAnsi="Verdana"/>
          <w:kern w:val="24"/>
          <w:sz w:val="20"/>
          <w:szCs w:val="20"/>
        </w:rPr>
        <w:t xml:space="preserve"> земельн</w:t>
      </w:r>
      <w:r>
        <w:rPr>
          <w:rFonts w:ascii="Verdana" w:eastAsia="Verdana" w:hAnsi="Verdana"/>
          <w:kern w:val="24"/>
          <w:sz w:val="20"/>
          <w:szCs w:val="20"/>
        </w:rPr>
        <w:t>ом</w:t>
      </w:r>
      <w:r w:rsidRPr="00E76C3A">
        <w:rPr>
          <w:rFonts w:ascii="Verdana" w:eastAsia="Verdana" w:hAnsi="Verdana"/>
          <w:kern w:val="24"/>
          <w:sz w:val="20"/>
          <w:szCs w:val="20"/>
        </w:rPr>
        <w:t xml:space="preserve"> участк</w:t>
      </w:r>
      <w:r>
        <w:rPr>
          <w:rFonts w:ascii="Verdana" w:eastAsia="Verdana" w:hAnsi="Verdana"/>
          <w:kern w:val="24"/>
          <w:sz w:val="20"/>
          <w:szCs w:val="20"/>
        </w:rPr>
        <w:t>е</w:t>
      </w:r>
      <w:r w:rsidRPr="00E76C3A">
        <w:rPr>
          <w:rFonts w:ascii="Verdana" w:eastAsia="Verdana" w:hAnsi="Verdana"/>
          <w:kern w:val="24"/>
          <w:sz w:val="20"/>
          <w:szCs w:val="20"/>
        </w:rPr>
        <w:t xml:space="preserve">; категория земель: земли населённых пунктов; виды разрешенного использования: </w:t>
      </w:r>
      <w:r>
        <w:rPr>
          <w:rFonts w:ascii="Verdana" w:eastAsia="Verdana" w:hAnsi="Verdana"/>
          <w:kern w:val="24"/>
          <w:sz w:val="20"/>
          <w:szCs w:val="20"/>
        </w:rPr>
        <w:t>для размещения торгового центра</w:t>
      </w:r>
      <w:r w:rsidRPr="00E76C3A">
        <w:rPr>
          <w:rFonts w:ascii="Verdana" w:eastAsia="Verdana" w:hAnsi="Verdana"/>
          <w:kern w:val="24"/>
          <w:sz w:val="20"/>
          <w:szCs w:val="20"/>
        </w:rPr>
        <w:t>; площадь: 1097 +/- 23 кв.м.; кадастровый номер: 12:10:1670117:136; адрес: установлено относительно ориентира, расположенного в границах участка, почтовый адрес ориентира: Республика Марий Эл, р-н. Сернурский, пгт. Сернур, ул. Комсомольская, д. 7</w:t>
      </w:r>
      <w:r>
        <w:rPr>
          <w:rFonts w:ascii="Verdana" w:hAnsi="Verdana"/>
          <w:sz w:val="20"/>
          <w:szCs w:val="20"/>
        </w:rPr>
        <w:t xml:space="preserve"> (далее – «</w:t>
      </w:r>
      <w:r w:rsidRPr="00B20983">
        <w:rPr>
          <w:rFonts w:ascii="Verdana" w:hAnsi="Verdana"/>
          <w:b/>
          <w:sz w:val="20"/>
          <w:szCs w:val="20"/>
        </w:rPr>
        <w:t>Земельный участок</w:t>
      </w:r>
      <w:r>
        <w:rPr>
          <w:rFonts w:ascii="Verdana" w:hAnsi="Verdana"/>
          <w:sz w:val="20"/>
          <w:szCs w:val="20"/>
        </w:rPr>
        <w:t>»)</w:t>
      </w:r>
      <w:r w:rsidRPr="002206C7">
        <w:rPr>
          <w:rFonts w:ascii="Verdana" w:hAnsi="Verdana"/>
          <w:sz w:val="20"/>
          <w:szCs w:val="20"/>
        </w:rPr>
        <w:t>.</w:t>
      </w:r>
    </w:p>
    <w:p w:rsidR="00812ADC" w:rsidRPr="00B27E6B" w:rsidRDefault="00812ADC" w:rsidP="00812ADC">
      <w:pPr>
        <w:pStyle w:val="a5"/>
        <w:numPr>
          <w:ilvl w:val="1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rFonts w:ascii="Verdana" w:hAnsi="Verdana" w:cs="Arial"/>
        </w:rPr>
      </w:pPr>
      <w:r w:rsidRPr="00B27E6B">
        <w:rPr>
          <w:rFonts w:ascii="Verdana" w:hAnsi="Verdana"/>
        </w:rPr>
        <w:t>Цена Нежилого здания составляет ________________ (__________________) рублей ___ копеек, в том числе</w:t>
      </w:r>
      <w:r w:rsidRPr="00B27E6B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Федерации.</w:t>
      </w:r>
    </w:p>
    <w:p w:rsidR="00812ADC" w:rsidRDefault="00812ADC" w:rsidP="00812ADC">
      <w:pPr>
        <w:pStyle w:val="a5"/>
        <w:widowControl w:val="0"/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Цена Земельного участка составляет </w:t>
      </w:r>
      <w:r w:rsidRPr="003F612D">
        <w:rPr>
          <w:rFonts w:ascii="Verdana" w:hAnsi="Verdana"/>
        </w:rPr>
        <w:t>_______________ (__________________) рублей ___ копеек</w:t>
      </w:r>
      <w:r>
        <w:rPr>
          <w:rFonts w:ascii="Verdana" w:hAnsi="Verdana"/>
        </w:rPr>
        <w:t xml:space="preserve">, </w:t>
      </w:r>
      <w:r w:rsidRPr="00385675">
        <w:rPr>
          <w:rFonts w:ascii="Verdana" w:hAnsi="Verdana" w:cs="Arial"/>
        </w:rPr>
        <w:t>НДС не облагается на основании пп.6 п.2 ст.146 Налогового кодекса Российской Федерации</w:t>
      </w:r>
      <w:r>
        <w:rPr>
          <w:rFonts w:ascii="Verdana" w:hAnsi="Verdana" w:cs="Arial"/>
        </w:rPr>
        <w:t>.</w:t>
      </w:r>
    </w:p>
    <w:p w:rsidR="00812ADC" w:rsidRDefault="00812ADC" w:rsidP="00812ADC">
      <w:pPr>
        <w:pStyle w:val="a5"/>
        <w:widowControl w:val="0"/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Нежилое здание и Земельный участок </w:t>
      </w:r>
      <w:r w:rsidRPr="002206C7">
        <w:rPr>
          <w:rFonts w:ascii="Verdana" w:hAnsi="Verdana"/>
        </w:rPr>
        <w:t>далее совместно</w:t>
      </w:r>
      <w:r>
        <w:rPr>
          <w:rFonts w:ascii="Verdana" w:hAnsi="Verdana"/>
        </w:rPr>
        <w:t xml:space="preserve"> именуются</w:t>
      </w:r>
      <w:r w:rsidRPr="002206C7">
        <w:rPr>
          <w:rFonts w:ascii="Verdana" w:hAnsi="Verdana"/>
        </w:rPr>
        <w:t xml:space="preserve"> «</w:t>
      </w:r>
      <w:r w:rsidRPr="002206C7">
        <w:rPr>
          <w:rFonts w:ascii="Verdana" w:hAnsi="Verdana"/>
          <w:b/>
        </w:rPr>
        <w:t>Имущество</w:t>
      </w:r>
      <w:r w:rsidRPr="002206C7">
        <w:rPr>
          <w:rFonts w:ascii="Verdana" w:hAnsi="Verdana"/>
        </w:rPr>
        <w:t>»</w:t>
      </w:r>
      <w:r>
        <w:rPr>
          <w:rFonts w:ascii="Verdana" w:hAnsi="Verdana"/>
        </w:rPr>
        <w:t>.</w:t>
      </w:r>
    </w:p>
    <w:p w:rsidR="00DC0518" w:rsidRPr="00F60CE3" w:rsidRDefault="00DD5861" w:rsidP="00812ADC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F60CE3">
        <w:rPr>
          <w:rFonts w:ascii="Verdana" w:hAnsi="Verdana"/>
        </w:rPr>
        <w:lastRenderedPageBreak/>
        <w:t xml:space="preserve">Фактическое и техническое состояние </w:t>
      </w:r>
      <w:r w:rsidR="003A0704">
        <w:rPr>
          <w:rFonts w:ascii="Verdana" w:hAnsi="Verdana"/>
        </w:rPr>
        <w:t>И</w:t>
      </w:r>
      <w:r w:rsidRPr="00F60CE3">
        <w:rPr>
          <w:rFonts w:ascii="Verdana" w:hAnsi="Verdana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253167">
        <w:rPr>
          <w:rFonts w:ascii="Verdana" w:hAnsi="Verdana"/>
        </w:rPr>
        <w:t>И</w:t>
      </w:r>
      <w:r w:rsidRPr="00F60CE3">
        <w:rPr>
          <w:rFonts w:ascii="Verdana" w:hAnsi="Verdana"/>
        </w:rPr>
        <w:t>мущество</w:t>
      </w:r>
      <w:r w:rsidR="00F60CE3">
        <w:rPr>
          <w:rFonts w:ascii="Verdana" w:hAnsi="Verdana"/>
        </w:rPr>
        <w:t xml:space="preserve"> </w:t>
      </w:r>
      <w:r w:rsidR="00F60CE3" w:rsidRPr="00F60CE3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53167">
        <w:rPr>
          <w:rFonts w:ascii="Verdana" w:hAnsi="Verdana" w:cs="Verdana"/>
          <w:color w:val="000000"/>
        </w:rPr>
        <w:t>И</w:t>
      </w:r>
      <w:r w:rsidR="00F60CE3" w:rsidRPr="00F60CE3">
        <w:rPr>
          <w:rFonts w:ascii="Verdana" w:hAnsi="Verdana" w:cs="Verdana"/>
          <w:color w:val="000000"/>
        </w:rPr>
        <w:t>му</w:t>
      </w:r>
      <w:r w:rsidR="00253167">
        <w:rPr>
          <w:rFonts w:ascii="Verdana" w:hAnsi="Verdana" w:cs="Verdana"/>
          <w:color w:val="000000"/>
        </w:rPr>
        <w:t>щество, изучил документацию на И</w:t>
      </w:r>
      <w:r w:rsidR="00F60CE3" w:rsidRPr="00F60CE3">
        <w:rPr>
          <w:rFonts w:ascii="Verdana" w:hAnsi="Verdana" w:cs="Verdana"/>
          <w:color w:val="000000"/>
        </w:rPr>
        <w:t>мущество, включая документацию, связанную с Земельн</w:t>
      </w:r>
      <w:r w:rsidR="000F2092">
        <w:rPr>
          <w:rFonts w:ascii="Verdana" w:hAnsi="Verdana" w:cs="Verdana"/>
          <w:color w:val="000000"/>
        </w:rPr>
        <w:t>ым</w:t>
      </w:r>
      <w:r w:rsidR="00F60CE3" w:rsidRPr="00F60CE3">
        <w:rPr>
          <w:rFonts w:ascii="Verdana" w:hAnsi="Verdana" w:cs="Verdana"/>
          <w:color w:val="000000"/>
        </w:rPr>
        <w:t xml:space="preserve"> участк</w:t>
      </w:r>
      <w:r w:rsidR="000F2092">
        <w:rPr>
          <w:rFonts w:ascii="Verdana" w:hAnsi="Verdana" w:cs="Verdana"/>
          <w:color w:val="000000"/>
        </w:rPr>
        <w:t>ом,</w:t>
      </w:r>
      <w:r w:rsidR="00F60CE3" w:rsidRPr="00F60CE3"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="00F60CE3" w:rsidRPr="00F60CE3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F60CE3" w:rsidRPr="00F60CE3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</w:t>
      </w:r>
      <w:r w:rsidR="000F2092">
        <w:rPr>
          <w:rFonts w:ascii="Verdana" w:hAnsi="Verdana" w:cs="Verdana"/>
          <w:color w:val="000000"/>
        </w:rPr>
        <w:t>Имущества</w:t>
      </w:r>
      <w:r w:rsidR="00F60CE3" w:rsidRPr="00F60CE3">
        <w:rPr>
          <w:rFonts w:ascii="Verdana" w:hAnsi="Verdana" w:cs="Verdana"/>
          <w:color w:val="000000"/>
        </w:rPr>
        <w:t xml:space="preserve"> может потребовать проведение мероприятий, связанных с</w:t>
      </w:r>
      <w:r w:rsidR="000906FF"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="00F60CE3"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 w:rsidR="000906FF"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F60CE3">
        <w:rPr>
          <w:rFonts w:ascii="Verdana" w:hAnsi="Verdana" w:cs="Verdana"/>
          <w:color w:val="000000"/>
        </w:rPr>
        <w:t>.</w:t>
      </w:r>
    </w:p>
    <w:p w:rsidR="00F60CE3" w:rsidRPr="00F60CE3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D975AF">
        <w:rPr>
          <w:rFonts w:ascii="Verdana" w:hAnsi="Verdana"/>
          <w:color w:val="0070C0"/>
        </w:rPr>
        <w:t>__________________________</w:t>
      </w:r>
      <w:r>
        <w:rPr>
          <w:rFonts w:ascii="Verdana" w:hAnsi="Verdana"/>
        </w:rPr>
        <w:t>.</w:t>
      </w:r>
    </w:p>
    <w:p w:rsidR="003F41E8" w:rsidRPr="008509DF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:rsidR="003F41E8" w:rsidRPr="008509DF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Нежилого здания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D5861" w:rsidRPr="008509D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:rsidR="00562092" w:rsidRPr="00562092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56209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562092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8509DF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C04F1" w:rsidRDefault="00AC04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A309A">
        <w:rPr>
          <w:rFonts w:ascii="Verdana" w:hAnsi="Verdana"/>
          <w:sz w:val="20"/>
          <w:szCs w:val="20"/>
        </w:rPr>
        <w:t>2</w:t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0C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60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 календарных </w:t>
      </w:r>
      <w:r w:rsidRPr="000C2791">
        <w:rPr>
          <w:rFonts w:ascii="Verdana" w:eastAsia="SimSun" w:hAnsi="Verdana"/>
          <w:kern w:val="1"/>
          <w:lang w:eastAsia="hi-IN" w:bidi="hi-IN"/>
        </w:rPr>
        <w:t>дней с даты открытия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:rsidR="00F22FD7" w:rsidRPr="00F22FD7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F22FD7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F22FD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F22FD7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22FD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>
        <w:rPr>
          <w:rFonts w:ascii="Verdana" w:eastAsia="SimSun" w:hAnsi="Verdana"/>
          <w:kern w:val="1"/>
          <w:lang w:eastAsia="hi-IN" w:bidi="hi-IN"/>
        </w:rPr>
        <w:t>300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="00F22FD7">
        <w:rPr>
          <w:rFonts w:ascii="Verdana" w:eastAsia="SimSun" w:hAnsi="Verdana"/>
          <w:kern w:val="1"/>
          <w:lang w:eastAsia="hi-IN" w:bidi="hi-IN"/>
        </w:rPr>
        <w:t>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0C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0C2791">
        <w:rPr>
          <w:rFonts w:ascii="Verdana" w:eastAsia="Calibri" w:hAnsi="Verdana" w:cs="Arial"/>
        </w:rPr>
        <w:t xml:space="preserve"> документов:</w:t>
      </w:r>
    </w:p>
    <w:p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:rsidTr="00072336">
        <w:tc>
          <w:tcPr>
            <w:tcW w:w="2411" w:type="dxa"/>
            <w:shd w:val="clear" w:color="auto" w:fill="auto"/>
          </w:tcPr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0C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686D08" w:rsidRDefault="00686D08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ЕГРН, выданн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22FD7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переход права собственности на 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 и Земельный участок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ация о залоге в пользу Продавца (</w:t>
            </w:r>
            <w:r w:rsidR="00F22FD7" w:rsidRPr="00FA75A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FA75AB" w:rsidRPr="008509DF" w:rsidRDefault="00FA75AB" w:rsidP="00812ADC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усиленной квалифицированной электронной подписью (в виде оригинал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нотариально заверенн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копи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686D08" w:rsidRPr="008509DF" w:rsidTr="00072336">
        <w:tc>
          <w:tcPr>
            <w:tcW w:w="2411" w:type="dxa"/>
            <w:shd w:val="clear" w:color="auto" w:fill="auto"/>
          </w:tcPr>
          <w:p w:rsidR="00F22FD7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E63D9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FA75AB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ЕГРН, выданн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A75AB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переход права собственности на Нежилое здание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Земельный участок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 xml:space="preserve">_________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86D08" w:rsidRPr="008509DF" w:rsidRDefault="00FA75AB" w:rsidP="00812A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усиленной квалифицированной электронной подписью (в виде оригинал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нотариально заверенн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копи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</w:tc>
      </w:tr>
    </w:tbl>
    <w:p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A37444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A37444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</w:t>
      </w:r>
      <w:r w:rsidR="00FA75AB">
        <w:rPr>
          <w:rFonts w:ascii="Verdana" w:hAnsi="Verdana"/>
        </w:rPr>
        <w:t>с</w:t>
      </w:r>
      <w:r w:rsidRPr="008509DF">
        <w:rPr>
          <w:rFonts w:ascii="Verdana" w:hAnsi="Verdana"/>
        </w:rPr>
        <w:t>рок аккредитива) открытого аккредитива.</w:t>
      </w:r>
    </w:p>
    <w:p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B10C45">
        <w:rPr>
          <w:rFonts w:ascii="Verdana" w:hAnsi="Verdana"/>
        </w:rPr>
        <w:t>3</w:t>
      </w:r>
      <w:r w:rsidRPr="00A72651">
        <w:rPr>
          <w:rFonts w:ascii="Verdana" w:hAnsi="Verdana"/>
        </w:rPr>
        <w:t xml:space="preserve"> (</w:t>
      </w:r>
      <w:r w:rsidR="00B10C45">
        <w:rPr>
          <w:rFonts w:ascii="Verdana" w:hAnsi="Verdana"/>
        </w:rPr>
        <w:t>Три</w:t>
      </w:r>
      <w:r w:rsidRPr="00A72651">
        <w:rPr>
          <w:rFonts w:ascii="Verdana" w:hAnsi="Verdana"/>
        </w:rPr>
        <w:t>) рабочих дн</w:t>
      </w:r>
      <w:r w:rsidR="00B10C45">
        <w:rPr>
          <w:rFonts w:ascii="Verdana" w:hAnsi="Verdana"/>
        </w:rPr>
        <w:t>я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:rsidR="00FA75AB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>продлить/открыть аккредитив на тех же условиях на тот же срок и</w:t>
      </w:r>
    </w:p>
    <w:p w:rsidR="002C398A" w:rsidRPr="00A7265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FA75AB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FA75AB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FA75AB">
        <w:rPr>
          <w:rFonts w:ascii="Verdana" w:hAnsi="Verdana"/>
        </w:rPr>
        <w:t xml:space="preserve">действующим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Default="009A0232">
      <w:pPr>
        <w:rPr>
          <w:rFonts w:ascii="Verdana" w:hAnsi="Verdana"/>
          <w:sz w:val="20"/>
          <w:szCs w:val="20"/>
        </w:rPr>
      </w:pP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BC" w:rsidRDefault="004778BC" w:rsidP="00E33D4F">
      <w:pPr>
        <w:spacing w:after="0" w:line="240" w:lineRule="auto"/>
      </w:pPr>
      <w:r>
        <w:separator/>
      </w:r>
    </w:p>
  </w:endnote>
  <w:endnote w:type="continuationSeparator" w:id="0">
    <w:p w:rsidR="004778BC" w:rsidRDefault="004778B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C942EB" w:rsidRDefault="00C942E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DC">
          <w:rPr>
            <w:noProof/>
          </w:rPr>
          <w:t>13</w:t>
        </w:r>
        <w:r>
          <w:fldChar w:fldCharType="end"/>
        </w:r>
      </w:p>
    </w:sdtContent>
  </w:sdt>
  <w:p w:rsidR="00C942EB" w:rsidRDefault="00C942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BC" w:rsidRDefault="004778BC" w:rsidP="00E33D4F">
      <w:pPr>
        <w:spacing w:after="0" w:line="240" w:lineRule="auto"/>
      </w:pPr>
      <w:r>
        <w:separator/>
      </w:r>
    </w:p>
  </w:footnote>
  <w:footnote w:type="continuationSeparator" w:id="0">
    <w:p w:rsidR="004778BC" w:rsidRDefault="004778BC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9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0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2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39"/>
  </w:num>
  <w:num w:numId="3">
    <w:abstractNumId w:val="33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6"/>
  </w:num>
  <w:num w:numId="9">
    <w:abstractNumId w:val="37"/>
  </w:num>
  <w:num w:numId="10">
    <w:abstractNumId w:val="3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8"/>
  </w:num>
  <w:num w:numId="12">
    <w:abstractNumId w:val="11"/>
  </w:num>
  <w:num w:numId="13">
    <w:abstractNumId w:val="25"/>
  </w:num>
  <w:num w:numId="14">
    <w:abstractNumId w:val="7"/>
  </w:num>
  <w:num w:numId="15">
    <w:abstractNumId w:val="0"/>
  </w:num>
  <w:num w:numId="16">
    <w:abstractNumId w:val="16"/>
  </w:num>
  <w:num w:numId="17">
    <w:abstractNumId w:val="34"/>
  </w:num>
  <w:num w:numId="18">
    <w:abstractNumId w:val="19"/>
  </w:num>
  <w:num w:numId="19">
    <w:abstractNumId w:val="12"/>
  </w:num>
  <w:num w:numId="20">
    <w:abstractNumId w:val="27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8"/>
  </w:num>
  <w:num w:numId="26">
    <w:abstractNumId w:val="36"/>
  </w:num>
  <w:num w:numId="27">
    <w:abstractNumId w:val="30"/>
  </w:num>
  <w:num w:numId="28">
    <w:abstractNumId w:val="13"/>
  </w:num>
  <w:num w:numId="29">
    <w:abstractNumId w:val="41"/>
  </w:num>
  <w:num w:numId="30">
    <w:abstractNumId w:val="35"/>
  </w:num>
  <w:num w:numId="31">
    <w:abstractNumId w:val="29"/>
  </w:num>
  <w:num w:numId="32">
    <w:abstractNumId w:val="1"/>
  </w:num>
  <w:num w:numId="33">
    <w:abstractNumId w:val="10"/>
  </w:num>
  <w:num w:numId="34">
    <w:abstractNumId w:val="26"/>
  </w:num>
  <w:num w:numId="35">
    <w:abstractNumId w:val="22"/>
  </w:num>
  <w:num w:numId="36">
    <w:abstractNumId w:val="20"/>
  </w:num>
  <w:num w:numId="37">
    <w:abstractNumId w:val="3"/>
  </w:num>
  <w:num w:numId="38">
    <w:abstractNumId w:val="42"/>
  </w:num>
  <w:num w:numId="39">
    <w:abstractNumId w:val="32"/>
  </w:num>
  <w:num w:numId="40">
    <w:abstractNumId w:val="2"/>
  </w:num>
  <w:num w:numId="41">
    <w:abstractNumId w:val="43"/>
  </w:num>
  <w:num w:numId="42">
    <w:abstractNumId w:val="5"/>
  </w:num>
  <w:num w:numId="43">
    <w:abstractNumId w:val="9"/>
  </w:num>
  <w:num w:numId="44">
    <w:abstractNumId w:val="40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297"/>
    <w:rsid w:val="000C2791"/>
    <w:rsid w:val="000C2F08"/>
    <w:rsid w:val="000C34A2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21064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0704"/>
    <w:rsid w:val="003A1B23"/>
    <w:rsid w:val="003A36C1"/>
    <w:rsid w:val="003A3708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593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75A5"/>
    <w:rsid w:val="004878AD"/>
    <w:rsid w:val="00490F8A"/>
    <w:rsid w:val="004917FE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42E6"/>
    <w:rsid w:val="00645BF6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85720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1E91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7887"/>
    <w:rsid w:val="00A7151A"/>
    <w:rsid w:val="00A71D0F"/>
    <w:rsid w:val="00A77877"/>
    <w:rsid w:val="00A77FA0"/>
    <w:rsid w:val="00A80F6F"/>
    <w:rsid w:val="00A81BE4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7138"/>
    <w:rsid w:val="00B27E6B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A0A0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8800-F095-4016-8F15-38F2B616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5732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2022-12-22T14:28:00Z</cp:lastPrinted>
  <dcterms:created xsi:type="dcterms:W3CDTF">2022-12-22T14:54:00Z</dcterms:created>
  <dcterms:modified xsi:type="dcterms:W3CDTF">2022-12-22T14:54:00Z</dcterms:modified>
</cp:coreProperties>
</file>