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D9" w:rsidRDefault="00A97E5B">
      <w:pPr>
        <w:spacing w:line="276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F91BD9" w:rsidRDefault="00A97E5B">
      <w:pPr>
        <w:spacing w:line="276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F91BD9" w:rsidRDefault="00A97E5B">
      <w:pPr>
        <w:spacing w:line="276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:rsidR="00F91BD9" w:rsidRDefault="00A97E5B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Электронный аукцион будет проводиться 01.02.2023</w:t>
      </w:r>
      <w:r>
        <w:rPr>
          <w:b/>
          <w:bCs/>
          <w:sz w:val="23"/>
          <w:szCs w:val="23"/>
        </w:rPr>
        <w:t xml:space="preserve"> </w:t>
      </w:r>
      <w:r>
        <w:rPr>
          <w:b/>
        </w:rPr>
        <w:t>г. с 11:00 до 12:00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F91BD9" w:rsidRDefault="00A97E5B">
      <w:pPr>
        <w:tabs>
          <w:tab w:val="left" w:pos="3969"/>
        </w:tabs>
        <w:jc w:val="center"/>
        <w:rPr>
          <w:b/>
          <w:bCs/>
        </w:rPr>
      </w:pPr>
      <w:r>
        <w:rPr>
          <w:b/>
        </w:rPr>
        <w:t xml:space="preserve">Прием заявок осуществляется с 12.01.2023 </w:t>
      </w:r>
      <w:r>
        <w:rPr>
          <w:b/>
          <w:bCs/>
        </w:rPr>
        <w:t>г. по 30.01.2023</w:t>
      </w:r>
      <w:r>
        <w:rPr>
          <w:b/>
          <w:bCs/>
        </w:rPr>
        <w:t xml:space="preserve"> г. до 18:00:00</w:t>
      </w:r>
    </w:p>
    <w:p w:rsidR="00F91BD9" w:rsidRDefault="00A97E5B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F91BD9" w:rsidRDefault="00A97E5B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30.01.2023г. до 18:00. </w:t>
      </w:r>
    </w:p>
    <w:p w:rsidR="00F91BD9" w:rsidRDefault="00A97E5B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>Определение участников электронного аукциона состоится 31.01.2023 г. до 18:00</w:t>
      </w:r>
    </w:p>
    <w:p w:rsidR="00F91BD9" w:rsidRDefault="00A97E5B">
      <w:pPr>
        <w:spacing w:after="33" w:line="247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F91BD9" w:rsidRDefault="00A97E5B">
      <w:pPr>
        <w:spacing w:after="22" w:line="259" w:lineRule="auto"/>
        <w:ind w:right="60"/>
        <w:jc w:val="center"/>
      </w:pPr>
      <w:r>
        <w:t xml:space="preserve"> </w:t>
      </w:r>
    </w:p>
    <w:p w:rsidR="00F91BD9" w:rsidRDefault="00A97E5B">
      <w:pPr>
        <w:spacing w:after="33" w:line="247" w:lineRule="auto"/>
        <w:ind w:left="298" w:right="60"/>
        <w:jc w:val="center"/>
      </w:pPr>
      <w:r>
        <w:t xml:space="preserve"> </w:t>
      </w:r>
      <w:r>
        <w:t xml:space="preserve">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F91BD9" w:rsidRDefault="00A97E5B">
      <w:pPr>
        <w:spacing w:after="10" w:line="247" w:lineRule="auto"/>
        <w:ind w:left="298" w:right="60"/>
        <w:jc w:val="center"/>
      </w:pPr>
      <w:r>
        <w:t xml:space="preserve">время сервера электронной торговой площадки) </w:t>
      </w:r>
    </w:p>
    <w:p w:rsidR="00F91BD9" w:rsidRDefault="00F91BD9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:rsidR="00F91BD9" w:rsidRDefault="00F91BD9">
      <w:pPr>
        <w:jc w:val="both"/>
        <w:rPr>
          <w:sz w:val="23"/>
          <w:szCs w:val="23"/>
          <w:shd w:val="clear" w:color="auto" w:fill="FFFFFF"/>
        </w:rPr>
      </w:pPr>
    </w:p>
    <w:p w:rsidR="00F91BD9" w:rsidRDefault="00A97E5B">
      <w:pPr>
        <w:ind w:right="60" w:firstLine="567"/>
      </w:pPr>
      <w:r>
        <w:rPr>
          <w:b/>
        </w:rPr>
        <w:t xml:space="preserve">Объект продажи (Объект, лот): </w:t>
      </w:r>
      <w:r>
        <w:tab/>
      </w:r>
    </w:p>
    <w:p w:rsidR="00F91BD9" w:rsidRDefault="00A97E5B">
      <w:pPr>
        <w:shd w:val="clear" w:color="auto" w:fill="FFFFFF"/>
        <w:ind w:firstLine="360"/>
        <w:rPr>
          <w:rFonts w:ascii="Segoe UI" w:hAnsi="Segoe UI" w:cs="Segoe UI"/>
          <w:color w:val="222222"/>
          <w:sz w:val="20"/>
          <w:szCs w:val="20"/>
        </w:rPr>
      </w:pPr>
      <w:r>
        <w:rPr>
          <w:rFonts w:eastAsia="Times New Roman"/>
          <w:color w:val="222222"/>
          <w:lang w:eastAsia="ru-RU"/>
        </w:rPr>
        <w:t xml:space="preserve">- </w:t>
      </w:r>
      <w:proofErr w:type="spellStart"/>
      <w:r>
        <w:rPr>
          <w:rFonts w:eastAsia="Times New Roman"/>
          <w:color w:val="222222"/>
          <w:lang w:eastAsia="ru-RU"/>
        </w:rPr>
        <w:t>Гидромолот</w:t>
      </w:r>
      <w:proofErr w:type="spellEnd"/>
      <w:r>
        <w:rPr>
          <w:rFonts w:eastAsia="Times New Roman"/>
          <w:color w:val="222222"/>
          <w:lang w:eastAsia="ru-RU"/>
        </w:rPr>
        <w:t xml:space="preserve"> </w:t>
      </w:r>
      <w:r>
        <w:rPr>
          <w:sz w:val="22"/>
          <w:szCs w:val="22"/>
        </w:rPr>
        <w:t>Junttan-14</w:t>
      </w:r>
      <w:r>
        <w:rPr>
          <w:sz w:val="22"/>
          <w:szCs w:val="22"/>
        </w:rPr>
        <w:t>-A</w:t>
      </w:r>
    </w:p>
    <w:p w:rsidR="00F91BD9" w:rsidRDefault="00A97E5B">
      <w:pPr>
        <w:pStyle w:val="af6"/>
        <w:ind w:firstLine="36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РАБОЧИЕ ПАРАМЕТРЫ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Рабочее давление, 183 бар: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Масса ударной части, 14 т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Частота ударов в минуту: 40-100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Поток гидравлической жидкости, 795 л/мин: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Ход ударной части, 1200 мм: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 xml:space="preserve">Максимальная энергия удара165, </w:t>
      </w:r>
      <w:proofErr w:type="spellStart"/>
      <w:r>
        <w:rPr>
          <w:rFonts w:ascii="Times New Roman" w:hAnsi="Times New Roman"/>
          <w:sz w:val="20"/>
          <w:szCs w:val="21"/>
        </w:rPr>
        <w:t>кНм</w:t>
      </w:r>
      <w:proofErr w:type="spellEnd"/>
      <w:r>
        <w:rPr>
          <w:rFonts w:ascii="Times New Roman" w:hAnsi="Times New Roman"/>
          <w:sz w:val="20"/>
          <w:szCs w:val="21"/>
        </w:rPr>
        <w:t>: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ТРАНСПОРТНЫЕ РАЗМЕРЫ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Длина, мм: 1020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Высота,</w:t>
      </w:r>
      <w:r>
        <w:rPr>
          <w:rFonts w:ascii="Times New Roman" w:hAnsi="Times New Roman"/>
          <w:sz w:val="20"/>
          <w:szCs w:val="21"/>
        </w:rPr>
        <w:t xml:space="preserve"> мм: 6980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Ширина, мм: 1020</w:t>
      </w:r>
    </w:p>
    <w:p w:rsidR="00F91BD9" w:rsidRDefault="00A97E5B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Масса, кг: 24000</w:t>
      </w:r>
    </w:p>
    <w:p w:rsidR="00F91BD9" w:rsidRDefault="00A97E5B">
      <w:pPr>
        <w:ind w:right="-57" w:firstLine="567"/>
        <w:jc w:val="both"/>
      </w:pPr>
      <w:r>
        <w:rPr>
          <w:rFonts w:eastAsia="Times New Roman"/>
          <w:color w:val="222222"/>
          <w:sz w:val="22"/>
          <w:szCs w:val="22"/>
          <w:shd w:val="clear" w:color="auto" w:fill="FFFFFF"/>
          <w:lang w:eastAsia="ru-RU"/>
        </w:rPr>
        <w:t>Месторасположение имущества: г. Нижний Новгород, ул. Вязниковская, д. 2б.</w:t>
      </w:r>
    </w:p>
    <w:p w:rsidR="00F91BD9" w:rsidRDefault="00F91BD9">
      <w:pPr>
        <w:tabs>
          <w:tab w:val="left" w:pos="3969"/>
        </w:tabs>
        <w:ind w:right="-1" w:firstLine="567"/>
        <w:jc w:val="both"/>
        <w:rPr>
          <w:sz w:val="22"/>
          <w:szCs w:val="22"/>
        </w:rPr>
      </w:pPr>
    </w:p>
    <w:p w:rsidR="00F91BD9" w:rsidRDefault="00A97E5B">
      <w:pPr>
        <w:tabs>
          <w:tab w:val="left" w:pos="3969"/>
        </w:tabs>
        <w:ind w:right="-1" w:firstLine="567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8 700 000 (восемь миллионов семьсот тысяч) рублей, </w:t>
      </w:r>
      <w:r>
        <w:rPr>
          <w:sz w:val="22"/>
          <w:szCs w:val="22"/>
        </w:rPr>
        <w:t>НДС не облагается;</w:t>
      </w:r>
    </w:p>
    <w:p w:rsidR="00F91BD9" w:rsidRDefault="00A97E5B">
      <w:pPr>
        <w:ind w:right="-57" w:firstLine="567"/>
        <w:jc w:val="both"/>
        <w:rPr>
          <w:b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устанавливается в размере 3 480 000 (три миллиона четыреста восемьдесят тысяч) рублей.</w:t>
      </w:r>
    </w:p>
    <w:p w:rsidR="00F91BD9" w:rsidRDefault="00A97E5B">
      <w:pPr>
        <w:ind w:right="-57" w:firstLine="567"/>
        <w:jc w:val="both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Шаг аукциона на повышение устанавливается в размере </w:t>
      </w:r>
      <w:r>
        <w:rPr>
          <w:rFonts w:cs="Times New Roman"/>
          <w:b/>
          <w:sz w:val="22"/>
          <w:szCs w:val="22"/>
        </w:rPr>
        <w:t>174 000 (сто семьдесят четыре тысячи) рублей 00 копеек.</w:t>
      </w:r>
    </w:p>
    <w:p w:rsidR="00F91BD9" w:rsidRDefault="00F91BD9">
      <w:pPr>
        <w:spacing w:after="8"/>
        <w:ind w:left="183" w:right="60"/>
        <w:jc w:val="center"/>
        <w:rPr>
          <w:b/>
        </w:rPr>
      </w:pPr>
    </w:p>
    <w:p w:rsidR="00F91BD9" w:rsidRDefault="00F91BD9">
      <w:pPr>
        <w:spacing w:after="8"/>
        <w:ind w:left="183" w:right="60"/>
        <w:jc w:val="center"/>
        <w:rPr>
          <w:b/>
        </w:rPr>
      </w:pPr>
    </w:p>
    <w:p w:rsidR="00F91BD9" w:rsidRDefault="00A97E5B">
      <w:pPr>
        <w:spacing w:after="8"/>
        <w:ind w:left="183" w:right="60"/>
        <w:jc w:val="center"/>
      </w:pPr>
      <w:r>
        <w:rPr>
          <w:b/>
        </w:rPr>
        <w:t>ОБЩИЕ ПОЛОЖЕНИЯ:</w:t>
      </w:r>
      <w:r>
        <w:t xml:space="preserve"> </w:t>
      </w:r>
    </w:p>
    <w:p w:rsidR="00F91BD9" w:rsidRDefault="00A97E5B">
      <w:pPr>
        <w:ind w:left="-15" w:right="60" w:firstLine="684"/>
        <w:jc w:val="both"/>
        <w:rPr>
          <w:lang w:val="en-US"/>
        </w:rPr>
      </w:pPr>
      <w:r>
        <w:t>Порядок взаимодействия между Организаторо</w:t>
      </w:r>
      <w:r>
        <w:t>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</w:t>
      </w:r>
      <w:r>
        <w:t xml:space="preserve"> «Российский аукционный дом» </w:t>
      </w:r>
      <w:hyperlink r:id="rId18">
        <w:r>
          <w:t>при проведении электронных торгов по продаже</w:t>
        </w:r>
      </w:hyperlink>
      <w:hyperlink r:id="rId19">
        <w:r>
          <w:t xml:space="preserve"> </w:t>
        </w:r>
      </w:hyperlink>
      <w:hyperlink r:id="rId20">
        <w:r>
          <w:t xml:space="preserve">имущества, имущественных </w:t>
        </w:r>
      </w:hyperlink>
      <w:hyperlink r:id="rId21">
        <w:r>
          <w:t xml:space="preserve">прав (за </w:t>
        </w:r>
        <w:r>
          <w:lastRenderedPageBreak/>
          <w:t xml:space="preserve">исключением имущества, имущественных прав, реализуемых в рамках процедур </w:t>
        </w:r>
      </w:hyperlink>
      <w:hyperlink r:id="rId22">
        <w: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t>,</w:t>
        </w:r>
      </w:hyperlink>
      <w:r>
        <w:t xml:space="preserve"> размещенном на сайте </w:t>
      </w:r>
      <w:hyperlink r:id="rId24">
        <w:r>
          <w:rPr>
            <w:u w:val="single" w:color="000000"/>
          </w:rPr>
          <w:t>www</w:t>
        </w:r>
      </w:hyperlink>
      <w:hyperlink r:id="rId25">
        <w:r>
          <w:rPr>
            <w:u w:val="single" w:color="000000"/>
          </w:rPr>
          <w:t>.</w:t>
        </w:r>
      </w:hyperlink>
      <w:r>
        <w:rPr>
          <w:u w:val="single" w:color="000000"/>
          <w:lang w:val="en-US"/>
        </w:rPr>
        <w:fldChar w:fldCharType="begin"/>
      </w:r>
      <w:bookmarkStart w:id="0" w:name="_GoBack"/>
      <w:r w:rsidRPr="00A97E5B">
        <w:rPr>
          <w:u w:val="single" w:color="000000"/>
        </w:rPr>
        <w:instrText xml:space="preserve"> </w:instrText>
      </w:r>
      <w:bookmarkEnd w:id="0"/>
      <w:r>
        <w:rPr>
          <w:u w:val="single" w:color="000000"/>
          <w:lang w:val="en-US"/>
        </w:rPr>
        <w:instrText>HYPERLINK</w:instrText>
      </w:r>
      <w:r w:rsidRPr="00A97E5B">
        <w:rPr>
          <w:u w:val="single" w:color="000000"/>
        </w:rPr>
        <w:instrText xml:space="preserve"> "</w:instrText>
      </w:r>
      <w:r>
        <w:rPr>
          <w:u w:val="single" w:color="000000"/>
          <w:lang w:val="en-US"/>
        </w:rPr>
        <w:instrText>http</w:instrText>
      </w:r>
      <w:r w:rsidRPr="00A97E5B">
        <w:rPr>
          <w:u w:val="single" w:color="000000"/>
        </w:rPr>
        <w:instrText>://</w:instrText>
      </w:r>
      <w:r>
        <w:rPr>
          <w:u w:val="single" w:color="000000"/>
          <w:lang w:val="en-US"/>
        </w:rPr>
        <w:instrText>www</w:instrText>
      </w:r>
      <w:r w:rsidRPr="00A97E5B">
        <w:rPr>
          <w:u w:val="single" w:color="000000"/>
        </w:rPr>
        <w:instrText>.</w:instrText>
      </w:r>
      <w:r>
        <w:rPr>
          <w:u w:val="single" w:color="000000"/>
          <w:lang w:val="en-US"/>
        </w:rPr>
        <w:instrText>lot</w:instrText>
      </w:r>
      <w:r w:rsidRPr="00A97E5B">
        <w:rPr>
          <w:u w:val="single" w:color="000000"/>
        </w:rPr>
        <w:instrText>-</w:instrText>
      </w:r>
      <w:r>
        <w:rPr>
          <w:u w:val="single" w:color="000000"/>
          <w:lang w:val="en-US"/>
        </w:rPr>
        <w:instrText>online</w:instrText>
      </w:r>
      <w:r w:rsidRPr="00A97E5B">
        <w:rPr>
          <w:u w:val="single" w:color="000000"/>
        </w:rPr>
        <w:instrText>.</w:instrText>
      </w:r>
      <w:r>
        <w:rPr>
          <w:u w:val="single" w:color="000000"/>
          <w:lang w:val="en-US"/>
        </w:rPr>
        <w:instrText>ru</w:instrText>
      </w:r>
      <w:r w:rsidRPr="00A97E5B">
        <w:rPr>
          <w:u w:val="single" w:color="000000"/>
        </w:rPr>
        <w:instrText>/" \</w:instrText>
      </w:r>
      <w:r>
        <w:rPr>
          <w:u w:val="single" w:color="000000"/>
          <w:lang w:val="en-US"/>
        </w:rPr>
        <w:instrText>h</w:instrText>
      </w:r>
      <w:r w:rsidRPr="00A97E5B">
        <w:rPr>
          <w:u w:val="single" w:color="000000"/>
        </w:rPr>
        <w:instrText xml:space="preserve"> </w:instrText>
      </w:r>
      <w:r>
        <w:rPr>
          <w:u w:val="single" w:color="000000"/>
          <w:lang w:val="en-US"/>
        </w:rPr>
        <w:fldChar w:fldCharType="separate"/>
      </w:r>
      <w:r>
        <w:rPr>
          <w:u w:val="single" w:color="000000"/>
          <w:lang w:val="en-US"/>
        </w:rPr>
        <w:t>lot</w:t>
      </w:r>
      <w:r>
        <w:rPr>
          <w:u w:val="single" w:color="000000"/>
          <w:lang w:val="en-US"/>
        </w:rPr>
        <w:fldChar w:fldCharType="end"/>
      </w:r>
      <w:hyperlink r:id="rId26">
        <w:r>
          <w:rPr>
            <w:u w:val="single" w:color="000000"/>
            <w:lang w:val="en-US"/>
          </w:rPr>
          <w:t>-</w:t>
        </w:r>
      </w:hyperlink>
      <w:hyperlink r:id="rId27">
        <w:r>
          <w:rPr>
            <w:u w:val="single" w:color="000000"/>
            <w:lang w:val="en-US"/>
          </w:rPr>
          <w:t>online</w:t>
        </w:r>
      </w:hyperlink>
      <w:hyperlink r:id="rId28">
        <w:r>
          <w:rPr>
            <w:u w:val="single" w:color="000000"/>
            <w:lang w:val="en-US"/>
          </w:rPr>
          <w:t>.</w:t>
        </w:r>
      </w:hyperlink>
      <w:hyperlink r:id="rId29">
        <w:r>
          <w:rPr>
            <w:u w:val="single" w:color="000000"/>
            <w:lang w:val="en-US"/>
          </w:rPr>
          <w:t>ru</w:t>
        </w:r>
      </w:hyperlink>
      <w:hyperlink r:id="rId30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(https://sales.lot-online.ru/e-auction/Regulations.xhtml).  </w:t>
      </w:r>
      <w:r>
        <w:rPr>
          <w:lang w:val="en-US"/>
        </w:rPr>
        <w:tab/>
      </w:r>
    </w:p>
    <w:p w:rsidR="00F91BD9" w:rsidRDefault="00A97E5B">
      <w:pPr>
        <w:spacing w:line="259" w:lineRule="auto"/>
        <w:ind w:left="721" w:right="60"/>
        <w:jc w:val="both"/>
        <w:rPr>
          <w:lang w:val="en-US"/>
        </w:rPr>
      </w:pPr>
      <w:r>
        <w:rPr>
          <w:b/>
          <w:lang w:val="en-US"/>
        </w:rPr>
        <w:t xml:space="preserve"> </w:t>
      </w:r>
    </w:p>
    <w:p w:rsidR="00F91BD9" w:rsidRDefault="00A97E5B">
      <w:pPr>
        <w:spacing w:after="8"/>
        <w:ind w:left="669" w:right="60"/>
        <w:jc w:val="center"/>
      </w:pPr>
      <w:r>
        <w:rPr>
          <w:b/>
        </w:rPr>
        <w:t>УСЛОВИЯ ПРОВЕДЕНИЯ АУКЦИОНА:</w:t>
      </w:r>
    </w:p>
    <w:p w:rsidR="00F91BD9" w:rsidRDefault="00A97E5B">
      <w:pPr>
        <w:ind w:left="-15" w:right="60" w:firstLine="684"/>
        <w:jc w:val="both"/>
      </w:pPr>
      <w:r>
        <w:t>Торги проводятся в электро</w:t>
      </w:r>
      <w:r>
        <w:t>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</w:t>
      </w:r>
      <w:r>
        <w:t xml:space="preserve">ловиями проведения торгов, опубликованными в настоящем информационном сообщении. </w:t>
      </w:r>
    </w:p>
    <w:p w:rsidR="00F91BD9" w:rsidRDefault="00A97E5B">
      <w:pPr>
        <w:ind w:left="-15" w:right="60" w:firstLine="684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</w:t>
      </w:r>
      <w:r>
        <w:t>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</w:t>
      </w:r>
      <w:r>
        <w:t xml:space="preserve">онной площадки, является выписка со счета Оператора электронной площадки. </w:t>
      </w:r>
    </w:p>
    <w:p w:rsidR="00F91BD9" w:rsidRDefault="00A97E5B">
      <w:pPr>
        <w:ind w:left="-15" w:right="60" w:firstLine="724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</w:t>
      </w:r>
      <w:r>
        <w:t xml:space="preserve"> физическое лицо, в том числе индивидуальный предприниматель, являющееся Пользователем электронной торговой площадки.  Иностранные юридические и физические лица допускаются к участию в аукционе с соблюдением требований, установленных законодательством Росс</w:t>
      </w:r>
      <w:r>
        <w:t xml:space="preserve">ийской Федерации. </w:t>
      </w:r>
    </w:p>
    <w:p w:rsidR="00F91BD9" w:rsidRDefault="00A97E5B">
      <w:pPr>
        <w:ind w:left="-15" w:right="60" w:firstLine="724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</w:t>
      </w:r>
      <w:r>
        <w:t xml:space="preserve">у торгов. </w:t>
      </w:r>
    </w:p>
    <w:p w:rsidR="00F91BD9" w:rsidRDefault="00A97E5B">
      <w:pPr>
        <w:ind w:left="-15" w:right="60" w:firstLine="724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31">
        <w:r>
          <w:t>электронной подписью</w:t>
        </w:r>
      </w:hyperlink>
      <w:hyperlink r:id="rId32">
        <w:r>
          <w:t xml:space="preserve"> </w:t>
        </w:r>
      </w:hyperlink>
      <w:r>
        <w:t xml:space="preserve">Претендента документы. </w:t>
      </w:r>
      <w:r>
        <w:rPr>
          <w:b/>
        </w:rPr>
        <w:t xml:space="preserve"> </w:t>
      </w:r>
    </w:p>
    <w:p w:rsidR="00F91BD9" w:rsidRDefault="00A97E5B">
      <w:pPr>
        <w:spacing w:line="264" w:lineRule="auto"/>
        <w:ind w:left="718" w:right="60"/>
        <w:jc w:val="both"/>
      </w:pPr>
      <w:r>
        <w:rPr>
          <w:b/>
        </w:rPr>
        <w:t xml:space="preserve">Документы, необходимые для участия в аукционе в электронной форме: </w:t>
      </w:r>
    </w:p>
    <w:p w:rsidR="00F91BD9" w:rsidRDefault="00A97E5B">
      <w:pPr>
        <w:numPr>
          <w:ilvl w:val="0"/>
          <w:numId w:val="2"/>
        </w:numPr>
        <w:ind w:right="60"/>
        <w:jc w:val="both"/>
      </w:pPr>
      <w:r>
        <w:t xml:space="preserve">Заявка на участие в аукционе, проводимом в электронной форме. </w:t>
      </w:r>
    </w:p>
    <w:p w:rsidR="00F91BD9" w:rsidRDefault="00A97E5B">
      <w:pPr>
        <w:ind w:left="-15" w:right="60"/>
        <w:jc w:val="both"/>
      </w:pPr>
      <w:r>
        <w:t xml:space="preserve">Подача заявки осуществляется путем заполнения ее электронной формы, размещенной на </w:t>
      </w:r>
      <w:r>
        <w:t>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</w:rPr>
        <w:t xml:space="preserve">  </w:t>
      </w:r>
    </w:p>
    <w:p w:rsidR="00F91BD9" w:rsidRDefault="00A97E5B">
      <w:pPr>
        <w:numPr>
          <w:ilvl w:val="0"/>
          <w:numId w:val="2"/>
        </w:numPr>
        <w:ind w:left="0" w:right="60" w:firstLine="709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:rsidR="00F91BD9" w:rsidRDefault="00A97E5B">
      <w:pPr>
        <w:numPr>
          <w:ilvl w:val="1"/>
          <w:numId w:val="2"/>
        </w:numPr>
        <w:ind w:right="60" w:hanging="419"/>
        <w:jc w:val="both"/>
      </w:pPr>
      <w:r>
        <w:t>Физические лица</w:t>
      </w:r>
      <w:r>
        <w:t>:</w:t>
      </w:r>
    </w:p>
    <w:p w:rsidR="00F91BD9" w:rsidRDefault="00A97E5B">
      <w:pPr>
        <w:ind w:left="709" w:right="60"/>
        <w:jc w:val="both"/>
      </w:pPr>
      <w:r>
        <w:t>- копии всех листов документа, удостоверяющего личность;</w:t>
      </w:r>
    </w:p>
    <w:p w:rsidR="00F91BD9" w:rsidRDefault="00A97E5B">
      <w:pPr>
        <w:numPr>
          <w:ilvl w:val="1"/>
          <w:numId w:val="2"/>
        </w:numPr>
        <w:ind w:right="60" w:hanging="419"/>
        <w:jc w:val="both"/>
      </w:pPr>
      <w:r>
        <w:t xml:space="preserve">Юридические лица: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</w:t>
      </w:r>
      <w:r>
        <w:t xml:space="preserve">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>свидетельство/лист записи о внесении в Единый государственный реестр юридических лиц; иностра</w:t>
      </w:r>
      <w:r>
        <w:t xml:space="preserve">нные юридические лица предоставляют свидетельство об инкорпорации </w:t>
      </w:r>
    </w:p>
    <w:p w:rsidR="00F91BD9" w:rsidRDefault="00A97E5B">
      <w:pPr>
        <w:ind w:left="-15" w:right="60"/>
        <w:jc w:val="both"/>
      </w:pPr>
      <w:r>
        <w:t xml:space="preserve">(регистрации) (или его аналог в соответствии с законодательством страны инкорпорации (регистрации); 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 xml:space="preserve">свидетельство о постановке на учет в налоговом органе;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>документ, подтверждающий полном</w:t>
      </w:r>
      <w:r>
        <w:t xml:space="preserve">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lastRenderedPageBreak/>
        <w:t>п</w:t>
      </w:r>
      <w:r>
        <w:t xml:space="preserve">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>решение об одобрении или о совершении крупной сделки, если требование о необходимости нали</w:t>
      </w:r>
      <w:r>
        <w:t>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</w:t>
      </w:r>
      <w:r>
        <w:t>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:rsidR="00F91BD9" w:rsidRDefault="00A97E5B">
      <w:pPr>
        <w:ind w:left="708" w:right="60"/>
        <w:jc w:val="both"/>
      </w:pPr>
      <w:r>
        <w:t xml:space="preserve">2.3. Индивидуальные предприниматели: 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 xml:space="preserve">копии всех листов документа, удостоверяющего личность;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F91BD9" w:rsidRDefault="00A97E5B">
      <w:pPr>
        <w:numPr>
          <w:ilvl w:val="0"/>
          <w:numId w:val="1"/>
        </w:numPr>
        <w:ind w:right="60"/>
        <w:jc w:val="both"/>
      </w:pPr>
      <w:r>
        <w:t>свидетельство о постановке на налоговый учет;</w:t>
      </w:r>
    </w:p>
    <w:p w:rsidR="00F91BD9" w:rsidRDefault="00A97E5B">
      <w:pPr>
        <w:ind w:left="-15" w:right="60" w:firstLine="724"/>
        <w:jc w:val="both"/>
      </w:pPr>
      <w:r>
        <w:t>В случае, если от имени Претендента действует его уполномоченный представитель, к заявке П</w:t>
      </w:r>
      <w:r>
        <w:t xml:space="preserve">ретендента должна быть приложена копия доверенности, оформленной в установленном законодательством РФ порядке. </w:t>
      </w:r>
    </w:p>
    <w:p w:rsidR="00F91BD9" w:rsidRDefault="00A97E5B">
      <w:pPr>
        <w:ind w:left="-15" w:right="60" w:firstLine="724"/>
        <w:jc w:val="both"/>
      </w:pPr>
      <w:r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:rsidR="00F91BD9" w:rsidRDefault="00A97E5B">
      <w:pPr>
        <w:ind w:left="-15" w:right="60" w:firstLine="724"/>
        <w:jc w:val="both"/>
      </w:pPr>
      <w:r>
        <w:t xml:space="preserve">После </w:t>
      </w:r>
      <w:r>
        <w:t xml:space="preserve">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F91BD9" w:rsidRDefault="00A97E5B">
      <w:pPr>
        <w:ind w:left="-15" w:right="60" w:firstLine="724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</w:t>
      </w:r>
      <w:r>
        <w:t xml:space="preserve">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F91BD9" w:rsidRDefault="00A97E5B">
      <w:pPr>
        <w:ind w:left="-15" w:right="60" w:firstLine="724"/>
        <w:jc w:val="both"/>
      </w:pPr>
      <w:r>
        <w:t>Наличие электронной подписи уполномоченного (доверенного</w:t>
      </w:r>
      <w:r>
        <w:t>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</w:t>
      </w:r>
      <w:r>
        <w:t xml:space="preserve">остоверность таких документов и сведений.  </w:t>
      </w:r>
    </w:p>
    <w:p w:rsidR="00F91BD9" w:rsidRDefault="00A97E5B">
      <w:pPr>
        <w:ind w:left="-15" w:right="60" w:firstLine="724"/>
        <w:jc w:val="both"/>
      </w:pPr>
      <w: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F91BD9" w:rsidRDefault="00A97E5B">
      <w:pPr>
        <w:ind w:left="-15" w:right="60" w:firstLine="724"/>
        <w:jc w:val="both"/>
      </w:pPr>
      <w:r>
        <w:t>Для участия в аукционе П</w:t>
      </w:r>
      <w:r>
        <w:t xml:space="preserve">ретендент вносит задаток в соответствии с условиями договора о задатке, форма которого размещена на сайте </w:t>
      </w:r>
      <w:hyperlink r:id="rId33">
        <w:r>
          <w:rPr>
            <w:color w:val="0000FF"/>
            <w:u w:val="single" w:color="0000FF"/>
          </w:rPr>
          <w:t>www</w:t>
        </w:r>
      </w:hyperlink>
      <w:hyperlink r:id="rId34">
        <w:r>
          <w:rPr>
            <w:color w:val="0000FF"/>
            <w:u w:val="single" w:color="0000FF"/>
          </w:rPr>
          <w:t>.</w:t>
        </w:r>
      </w:hyperlink>
      <w:hyperlink r:id="rId35">
        <w:r>
          <w:rPr>
            <w:color w:val="0000FF"/>
            <w:u w:val="single" w:color="0000FF"/>
          </w:rPr>
          <w:t>lot</w:t>
        </w:r>
      </w:hyperlink>
      <w:hyperlink r:id="rId36">
        <w:r>
          <w:rPr>
            <w:color w:val="0000FF"/>
            <w:u w:val="single" w:color="0000FF"/>
          </w:rPr>
          <w:t>-</w:t>
        </w:r>
      </w:hyperlink>
      <w:hyperlink r:id="rId37">
        <w:r>
          <w:rPr>
            <w:color w:val="0000FF"/>
            <w:u w:val="single" w:color="0000FF"/>
          </w:rPr>
          <w:t>online</w:t>
        </w:r>
      </w:hyperlink>
      <w:hyperlink r:id="rId38">
        <w:r>
          <w:rPr>
            <w:color w:val="0000FF"/>
            <w:u w:val="single" w:color="0000FF"/>
          </w:rPr>
          <w:t>.</w:t>
        </w:r>
      </w:hyperlink>
      <w:hyperlink r:id="rId39">
        <w:r>
          <w:rPr>
            <w:color w:val="0000FF"/>
            <w:u w:val="single" w:color="0000FF"/>
          </w:rPr>
          <w:t>ru</w:t>
        </w:r>
      </w:hyperlink>
      <w:hyperlink r:id="rId40">
        <w:r>
          <w:t xml:space="preserve"> </w:t>
        </w:r>
      </w:hyperlink>
      <w:r>
        <w:t xml:space="preserve"> в разделе «карточка лота», </w:t>
      </w:r>
      <w:r>
        <w:t xml:space="preserve">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F91BD9" w:rsidRDefault="00A97E5B">
      <w:pPr>
        <w:jc w:val="both"/>
        <w:rPr>
          <w:b/>
          <w:sz w:val="22"/>
        </w:rPr>
      </w:pPr>
      <w:r>
        <w:rPr>
          <w:b/>
          <w:sz w:val="22"/>
        </w:rPr>
        <w:t>р/с № 40702810355000036459 в СЕВЕРО-ЗАПАДНЫЙ БАНК ПАО СБЕРБАНК,</w:t>
      </w:r>
    </w:p>
    <w:p w:rsidR="00F91BD9" w:rsidRDefault="00A97E5B">
      <w:pPr>
        <w:jc w:val="both"/>
        <w:rPr>
          <w:b/>
          <w:sz w:val="22"/>
          <w:shd w:val="clear" w:color="auto" w:fill="FFFFFF"/>
        </w:rPr>
      </w:pPr>
      <w:r>
        <w:rPr>
          <w:b/>
          <w:sz w:val="22"/>
        </w:rPr>
        <w:t>БИК 044030653, к/с 30</w:t>
      </w:r>
      <w:r>
        <w:rPr>
          <w:b/>
          <w:sz w:val="22"/>
        </w:rPr>
        <w:t>101810500000000653</w:t>
      </w:r>
      <w:r>
        <w:rPr>
          <w:b/>
          <w:sz w:val="22"/>
          <w:shd w:val="clear" w:color="auto" w:fill="FFFFFF"/>
        </w:rPr>
        <w:t>.</w:t>
      </w:r>
    </w:p>
    <w:p w:rsidR="00F91BD9" w:rsidRDefault="00F91BD9">
      <w:pPr>
        <w:spacing w:line="264" w:lineRule="auto"/>
        <w:ind w:right="60"/>
        <w:jc w:val="both"/>
      </w:pPr>
    </w:p>
    <w:p w:rsidR="00F91BD9" w:rsidRDefault="00A97E5B">
      <w:pPr>
        <w:spacing w:line="264" w:lineRule="auto"/>
        <w:ind w:left="718" w:right="6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Задаток должен поступить на указанный счет не позднее </w:t>
      </w:r>
      <w:r>
        <w:rPr>
          <w:b/>
          <w:bCs/>
          <w:sz w:val="23"/>
          <w:szCs w:val="23"/>
          <w:shd w:val="clear" w:color="auto" w:fill="FFFFFF"/>
        </w:rPr>
        <w:t>30.01.</w:t>
      </w:r>
      <w:r>
        <w:rPr>
          <w:b/>
          <w:bCs/>
          <w:sz w:val="23"/>
          <w:szCs w:val="23"/>
          <w:shd w:val="clear" w:color="auto" w:fill="FFFFFF"/>
        </w:rPr>
        <w:t>2023 до 18:00</w:t>
      </w:r>
    </w:p>
    <w:p w:rsidR="00F91BD9" w:rsidRDefault="00A97E5B">
      <w:pPr>
        <w:ind w:left="-15" w:right="60" w:firstLine="724"/>
        <w:jc w:val="both"/>
      </w:pPr>
      <w: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F91BD9" w:rsidRDefault="00A97E5B">
      <w:pPr>
        <w:ind w:left="-15" w:right="60" w:firstLine="724"/>
        <w:jc w:val="both"/>
      </w:pPr>
      <w:r>
        <w:t>Задаток перечисляется непосредственно стороной по</w:t>
      </w:r>
      <w:r>
        <w:t xml:space="preserve"> договору о задатке (договору присоединения). Оплата задатка третьими лицами не допускается.</w:t>
      </w:r>
    </w:p>
    <w:p w:rsidR="00F91BD9" w:rsidRDefault="00A97E5B">
      <w:pPr>
        <w:ind w:firstLine="567"/>
        <w:jc w:val="both"/>
      </w:pPr>
      <w: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</w:t>
      </w:r>
      <w:r>
        <w:lastRenderedPageBreak/>
        <w:t>элек</w:t>
      </w:r>
      <w:r>
        <w:t>тронных процедурах. НДС не облагается».</w:t>
      </w:r>
    </w:p>
    <w:p w:rsidR="00F91BD9" w:rsidRDefault="00A97E5B">
      <w:pPr>
        <w:ind w:left="-15" w:right="60" w:firstLine="724"/>
        <w:jc w:val="both"/>
      </w:pPr>
      <w:r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</w:t>
      </w:r>
      <w:r>
        <w:t xml:space="preserve">ителя/единственного участника в течение 5 (пяти) рабочих дней с даты подведения итогов аукциона. Задаток, перечисленный победителем торгов*засчитывается в сумму платежа по договору купли-продажи Объекта. </w:t>
      </w:r>
    </w:p>
    <w:p w:rsidR="00F91BD9" w:rsidRDefault="00A97E5B">
      <w:pPr>
        <w:ind w:left="-15" w:right="60" w:firstLine="582"/>
        <w:jc w:val="both"/>
      </w:pPr>
      <w:r>
        <w:t>Фактом внесения денежных средств в качестве задатка</w:t>
      </w:r>
      <w:r>
        <w:t xml:space="preserve">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F91BD9" w:rsidRDefault="00A97E5B">
      <w:pPr>
        <w:ind w:left="567" w:right="60"/>
        <w:jc w:val="both"/>
      </w:pPr>
      <w:r>
        <w:t xml:space="preserve">Для участия в аукционе Претендент может подать только одну заявку. </w:t>
      </w:r>
    </w:p>
    <w:p w:rsidR="00F91BD9" w:rsidRDefault="00A97E5B">
      <w:pPr>
        <w:ind w:left="-15" w:right="60" w:firstLine="582"/>
        <w:jc w:val="both"/>
      </w:pPr>
      <w: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</w:t>
      </w:r>
      <w:r>
        <w:t>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</w:t>
      </w:r>
      <w:r>
        <w:t xml:space="preserve">ения об отзыве заявки. </w:t>
      </w:r>
    </w:p>
    <w:p w:rsidR="00F91BD9" w:rsidRDefault="00A97E5B">
      <w:pPr>
        <w:ind w:left="-15" w:right="60" w:firstLine="582"/>
        <w:jc w:val="both"/>
      </w:pPr>
      <w: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F91BD9" w:rsidRDefault="00A97E5B">
      <w:pPr>
        <w:ind w:left="-15" w:right="60" w:firstLine="582"/>
        <w:jc w:val="both"/>
      </w:pPr>
      <w:r>
        <w:t>Претендент приобретает статус Участника аукциона с мом</w:t>
      </w:r>
      <w:r>
        <w:t xml:space="preserve">ента подписания Организатором торгов протокола об определении участников аукциона в электронной форме. </w:t>
      </w:r>
    </w:p>
    <w:p w:rsidR="00F91BD9" w:rsidRDefault="00A97E5B">
      <w:pPr>
        <w:ind w:left="-15" w:right="60" w:firstLine="582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</w:t>
      </w:r>
      <w:r>
        <w:t xml:space="preserve">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F91BD9" w:rsidRDefault="00A97E5B">
      <w:pPr>
        <w:ind w:left="-15" w:right="60" w:firstLine="724"/>
        <w:jc w:val="both"/>
      </w:pPr>
      <w:r>
        <w:t>Указанные документы в части их оформления и содержания д</w:t>
      </w:r>
      <w:r>
        <w:t xml:space="preserve">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t>апостилированы</w:t>
      </w:r>
      <w:proofErr w:type="spellEnd"/>
      <w:r>
        <w:t xml:space="preserve"> и иметь надлежащим образом, заверенный перевод на русский язык.</w:t>
      </w:r>
    </w:p>
    <w:p w:rsidR="00F91BD9" w:rsidRDefault="00A97E5B">
      <w:pPr>
        <w:ind w:left="-15" w:right="60"/>
        <w:jc w:val="both"/>
      </w:pPr>
      <w:r>
        <w:t>Документы, содержащи</w:t>
      </w:r>
      <w:r>
        <w:t>е помарки, подчистки, исправления и т.п., не рассматриваются.</w:t>
      </w:r>
    </w:p>
    <w:p w:rsidR="00F91BD9" w:rsidRDefault="00A97E5B">
      <w:pPr>
        <w:ind w:left="567" w:right="60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:rsidR="00F91BD9" w:rsidRDefault="00A97E5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F91BD9" w:rsidRDefault="00A97E5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</w:pPr>
      <w:r>
        <w:t>п</w:t>
      </w:r>
      <w:r>
        <w:t xml:space="preserve">редставлены не все документы в соответствии с перечнем, указанным в настоящем информационном сообщении; </w:t>
      </w:r>
    </w:p>
    <w:p w:rsidR="00F91BD9" w:rsidRDefault="00A97E5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</w:pPr>
      <w: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91BD9" w:rsidRDefault="00A97E5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</w:pPr>
      <w:r>
        <w:t>поступление зад</w:t>
      </w:r>
      <w:r>
        <w:t xml:space="preserve">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F91BD9" w:rsidRDefault="00A97E5B">
      <w:pPr>
        <w:ind w:left="-15" w:right="60" w:firstLine="724"/>
        <w:jc w:val="both"/>
      </w:pPr>
      <w:r>
        <w:t>После подписания Организатором торгов протокола об определении участников аукциона всем Претендентам направляются электронные ув</w:t>
      </w:r>
      <w:r>
        <w:t xml:space="preserve">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F91BD9" w:rsidRDefault="00A97E5B">
      <w:pPr>
        <w:ind w:left="-15" w:right="60" w:firstLine="724"/>
        <w:jc w:val="both"/>
      </w:pPr>
      <w:r>
        <w:t>В электронном аукционе могут принимать участие только Претенденты, признанные Организатором торгов в уст</w:t>
      </w:r>
      <w:r>
        <w:t xml:space="preserve">ановленном порядке его участниками. </w:t>
      </w:r>
    </w:p>
    <w:p w:rsidR="00F91BD9" w:rsidRDefault="00A97E5B">
      <w:pPr>
        <w:ind w:left="-15" w:right="60" w:firstLine="724"/>
        <w:jc w:val="both"/>
      </w:pPr>
      <w:r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</w:t>
      </w:r>
      <w:r>
        <w:t xml:space="preserve">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F91BD9" w:rsidRDefault="00A97E5B">
      <w:pPr>
        <w:ind w:left="-15" w:right="60" w:firstLine="724"/>
        <w:jc w:val="both"/>
      </w:pPr>
      <w:r>
        <w:t>В этом случае Организатор торгов не несет ответственности по возмеще</w:t>
      </w:r>
      <w:r>
        <w:t xml:space="preserve">нию </w:t>
      </w:r>
      <w:r>
        <w:lastRenderedPageBreak/>
        <w:t>участникам торгов понесенного ими реального ущерба.</w:t>
      </w:r>
      <w:r>
        <w:rPr>
          <w:rFonts w:cs="Times New Roman"/>
          <w:color w:val="000000"/>
          <w:shd w:val="clear" w:color="auto" w:fill="FFFFFF"/>
        </w:rPr>
        <w:tab/>
      </w:r>
      <w:r>
        <w:t xml:space="preserve"> </w:t>
      </w:r>
    </w:p>
    <w:p w:rsidR="00F91BD9" w:rsidRDefault="00A97E5B">
      <w:pPr>
        <w:ind w:left="-15" w:right="60" w:firstLine="724"/>
        <w:jc w:val="both"/>
      </w:pPr>
      <w: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</w:t>
      </w:r>
      <w:r>
        <w:t>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</w:t>
      </w:r>
      <w:r>
        <w:t xml:space="preserve">нений в условия проведения аукциона является его размещение на электронной площадке www.lot-online.ru. </w:t>
      </w:r>
    </w:p>
    <w:p w:rsidR="00F91BD9" w:rsidRDefault="00F91BD9">
      <w:pPr>
        <w:spacing w:line="259" w:lineRule="auto"/>
        <w:ind w:right="60"/>
        <w:jc w:val="both"/>
      </w:pPr>
    </w:p>
    <w:p w:rsidR="00F91BD9" w:rsidRDefault="00A97E5B">
      <w:pPr>
        <w:spacing w:line="264" w:lineRule="auto"/>
        <w:ind w:left="2115" w:right="60"/>
        <w:jc w:val="both"/>
      </w:pPr>
      <w:r>
        <w:rPr>
          <w:b/>
        </w:rPr>
        <w:t xml:space="preserve">ПОРЯДОК ПРОВЕДЕНИЯ ЭЛЕКТРОННОГО АУКЦИОНА: </w:t>
      </w:r>
    </w:p>
    <w:p w:rsidR="00F91BD9" w:rsidRDefault="00A97E5B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:rsidR="00F91BD9" w:rsidRDefault="00A97E5B">
      <w:pPr>
        <w:ind w:left="-15" w:right="60" w:firstLine="724"/>
        <w:jc w:val="both"/>
      </w:pPr>
      <w:r>
        <w:t>Порядок проведения торгов с применением метода повышения начальной цены («английский аукцион»)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</w:t>
      </w:r>
      <w:r>
        <w:t xml:space="preserve">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41">
        <w:r>
          <w:rPr>
            <w:color w:val="000000"/>
          </w:rPr>
          <w:t>www</w:t>
        </w:r>
      </w:hyperlink>
      <w:hyperlink r:id="rId42">
        <w:r>
          <w:rPr>
            <w:color w:val="000000"/>
          </w:rPr>
          <w:t>.</w:t>
        </w:r>
      </w:hyperlink>
      <w:hyperlink r:id="rId43">
        <w:r>
          <w:rPr>
            <w:color w:val="000000"/>
            <w:lang w:val="en-US"/>
          </w:rPr>
          <w:t>lot</w:t>
        </w:r>
      </w:hyperlink>
      <w:hyperlink r:id="rId44">
        <w:r>
          <w:rPr>
            <w:color w:val="000000"/>
          </w:rPr>
          <w:t>-</w:t>
        </w:r>
      </w:hyperlink>
      <w:hyperlink r:id="rId45">
        <w:r>
          <w:rPr>
            <w:color w:val="000000"/>
            <w:lang w:val="en-US"/>
          </w:rPr>
          <w:t>online</w:t>
        </w:r>
      </w:hyperlink>
      <w:hyperlink r:id="rId46">
        <w:r>
          <w:rPr>
            <w:color w:val="000000"/>
          </w:rPr>
          <w:t>.</w:t>
        </w:r>
      </w:hyperlink>
      <w:hyperlink r:id="rId47">
        <w:proofErr w:type="spellStart"/>
        <w:r>
          <w:rPr>
            <w:color w:val="000000"/>
            <w:lang w:val="en-US"/>
          </w:rPr>
          <w:t>ru</w:t>
        </w:r>
        <w:proofErr w:type="spellEnd"/>
      </w:hyperlink>
      <w:hyperlink r:id="rId48">
        <w:r>
          <w:rPr>
            <w:color w:val="000000"/>
          </w:rPr>
          <w:t xml:space="preserve"> </w:t>
        </w:r>
      </w:hyperlink>
      <w:r>
        <w:t xml:space="preserve">. </w:t>
      </w:r>
    </w:p>
    <w:p w:rsidR="00F91BD9" w:rsidRDefault="00A97E5B">
      <w:pPr>
        <w:ind w:firstLine="709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F91BD9" w:rsidRDefault="00A97E5B">
      <w:pPr>
        <w:ind w:firstLine="708"/>
        <w:jc w:val="both"/>
        <w:outlineLvl w:val="1"/>
      </w:pPr>
      <w:r>
        <w:t xml:space="preserve">Победителем аукциона признается лицо, которое сделало </w:t>
      </w:r>
      <w:r>
        <w:t>наибольшее предложение по цене Лота.</w:t>
      </w:r>
    </w:p>
    <w:p w:rsidR="00F91BD9" w:rsidRDefault="00A97E5B">
      <w:pPr>
        <w:ind w:firstLine="709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</w:t>
      </w:r>
      <w:r>
        <w:t>мация о завершении электронного аукциона.</w:t>
      </w:r>
    </w:p>
    <w:p w:rsidR="00F91BD9" w:rsidRDefault="00A97E5B">
      <w:pPr>
        <w:ind w:firstLine="709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91BD9" w:rsidRDefault="00A97E5B">
      <w:pPr>
        <w:ind w:left="720" w:right="60"/>
      </w:pPr>
      <w:r>
        <w:t>Электрон</w:t>
      </w:r>
      <w:r>
        <w:t xml:space="preserve">ный аукцион признается несостоявшимся, если: </w:t>
      </w:r>
    </w:p>
    <w:p w:rsidR="00F91BD9" w:rsidRDefault="00A97E5B">
      <w:pPr>
        <w:numPr>
          <w:ilvl w:val="0"/>
          <w:numId w:val="4"/>
        </w:numPr>
        <w:tabs>
          <w:tab w:val="clear" w:pos="708"/>
          <w:tab w:val="left" w:pos="851"/>
        </w:tabs>
        <w:spacing w:after="11" w:line="264" w:lineRule="auto"/>
        <w:ind w:right="60" w:firstLine="567"/>
        <w:jc w:val="both"/>
      </w:pPr>
      <w:r>
        <w:t xml:space="preserve">не было подано ни одной заявки на участие в торгах либо ни один из Претендентов не признан Участником торгов; </w:t>
      </w:r>
    </w:p>
    <w:p w:rsidR="00F91BD9" w:rsidRDefault="00A97E5B">
      <w:pPr>
        <w:numPr>
          <w:ilvl w:val="0"/>
          <w:numId w:val="4"/>
        </w:numPr>
        <w:tabs>
          <w:tab w:val="clear" w:pos="708"/>
          <w:tab w:val="left" w:pos="851"/>
        </w:tabs>
        <w:spacing w:after="11" w:line="264" w:lineRule="auto"/>
        <w:ind w:right="60" w:firstLine="567"/>
        <w:jc w:val="both"/>
      </w:pPr>
      <w:r>
        <w:t xml:space="preserve">к участию в торгах допущен только один Претендент; </w:t>
      </w:r>
    </w:p>
    <w:p w:rsidR="00F91BD9" w:rsidRDefault="00A97E5B">
      <w:pPr>
        <w:numPr>
          <w:ilvl w:val="0"/>
          <w:numId w:val="4"/>
        </w:numPr>
        <w:tabs>
          <w:tab w:val="clear" w:pos="708"/>
          <w:tab w:val="left" w:pos="851"/>
        </w:tabs>
        <w:spacing w:after="11" w:line="264" w:lineRule="auto"/>
        <w:ind w:right="60" w:firstLine="567"/>
        <w:jc w:val="both"/>
      </w:pPr>
      <w:r>
        <w:t>ни один из Участников торгов не сделал предложе</w:t>
      </w:r>
      <w:r>
        <w:t xml:space="preserve">ния о цене. </w:t>
      </w:r>
    </w:p>
    <w:p w:rsidR="00F91BD9" w:rsidRDefault="00A97E5B">
      <w:pPr>
        <w:ind w:right="60"/>
        <w:jc w:val="both"/>
      </w:pPr>
      <w:r>
        <w:tab/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91BD9" w:rsidRDefault="00A97E5B">
      <w:pPr>
        <w:ind w:left="-15" w:right="60" w:firstLine="724"/>
        <w:jc w:val="both"/>
      </w:pPr>
      <w:r>
        <w:t xml:space="preserve">В случае технического сбоя системы </w:t>
      </w:r>
      <w:r>
        <w:t xml:space="preserve">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</w:t>
      </w:r>
      <w:r>
        <w:t>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:rsidR="00F91BD9" w:rsidRDefault="00F91BD9">
      <w:pPr>
        <w:ind w:left="-15" w:right="60"/>
      </w:pPr>
    </w:p>
    <w:p w:rsidR="00F91BD9" w:rsidRDefault="00A97E5B">
      <w:pPr>
        <w:ind w:left="-15" w:right="60"/>
      </w:pPr>
      <w:r>
        <w:t xml:space="preserve">Телефоны службы технической поддержки </w:t>
      </w:r>
      <w:proofErr w:type="spellStart"/>
      <w:r>
        <w:t>Lot-online</w:t>
      </w:r>
      <w:proofErr w:type="spellEnd"/>
      <w:r>
        <w:t>: 8-800-777-57-57, доб. 231, 235.</w:t>
      </w:r>
    </w:p>
    <w:p w:rsidR="00F91BD9" w:rsidRDefault="00F91BD9">
      <w:pPr>
        <w:spacing w:line="264" w:lineRule="auto"/>
        <w:ind w:left="1789" w:right="60"/>
        <w:jc w:val="both"/>
        <w:rPr>
          <w:b/>
        </w:rPr>
      </w:pPr>
    </w:p>
    <w:p w:rsidR="00F91BD9" w:rsidRDefault="00A97E5B">
      <w:pPr>
        <w:spacing w:line="264" w:lineRule="auto"/>
        <w:ind w:left="1789" w:right="60"/>
        <w:jc w:val="both"/>
      </w:pPr>
      <w:r>
        <w:rPr>
          <w:b/>
        </w:rPr>
        <w:t xml:space="preserve">ПОРЯДОК ЗАКЛЮЧЕНИЯ ДОГОВОРА ПО ИТОГАМ ТОРГОВ: </w:t>
      </w:r>
    </w:p>
    <w:p w:rsidR="00F91BD9" w:rsidRDefault="00F91BD9">
      <w:pPr>
        <w:spacing w:line="264" w:lineRule="auto"/>
        <w:ind w:left="1789" w:right="60"/>
        <w:jc w:val="both"/>
        <w:rPr>
          <w:b/>
        </w:rPr>
      </w:pPr>
    </w:p>
    <w:p w:rsidR="00F91BD9" w:rsidRDefault="00A97E5B">
      <w:pPr>
        <w:spacing w:line="264" w:lineRule="auto"/>
        <w:ind w:left="-15" w:right="60"/>
        <w:jc w:val="both"/>
      </w:pPr>
      <w:r>
        <w:rPr>
          <w:b/>
        </w:rPr>
        <w:tab/>
      </w:r>
      <w:r>
        <w:rPr>
          <w:b/>
        </w:rPr>
        <w:tab/>
        <w:t xml:space="preserve">Договор купли-продажи Объекта заключается </w:t>
      </w:r>
      <w:r>
        <w:rPr>
          <w:b/>
          <w:bCs/>
        </w:rPr>
        <w:t>победителем электронного аукциона/единственным участником</w:t>
      </w:r>
      <w:r>
        <w:rPr>
          <w:b/>
        </w:rPr>
        <w:t xml:space="preserve"> (Покупателем) с Продавцом в течении 5 (пяти) рабочих дней после подведения итогов аукциона в соответствии </w:t>
      </w:r>
      <w:r>
        <w:rPr>
          <w:b/>
        </w:rPr>
        <w:t xml:space="preserve">с примерной формой, размещенной на сайте www.lot-online.ru в разделе «карточка лота». </w:t>
      </w:r>
    </w:p>
    <w:p w:rsidR="00F91BD9" w:rsidRDefault="00A97E5B">
      <w:pPr>
        <w:ind w:right="60"/>
        <w:jc w:val="both"/>
        <w:rPr>
          <w:b/>
        </w:rPr>
      </w:pPr>
      <w:r>
        <w:rPr>
          <w:b/>
        </w:rPr>
        <w:tab/>
        <w:t xml:space="preserve">Оплата цены продажи Объекта производится Покупателем за вычетом ранее </w:t>
      </w:r>
      <w:r>
        <w:rPr>
          <w:b/>
        </w:rPr>
        <w:lastRenderedPageBreak/>
        <w:t xml:space="preserve">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</w:t>
      </w:r>
      <w:r>
        <w:rPr>
          <w:b/>
        </w:rPr>
        <w:t>сайте www.lot-online.ru в разделе «карточка лота».</w:t>
      </w:r>
      <w:r>
        <w:rPr>
          <w:rFonts w:eastAsia="Courier New"/>
        </w:rPr>
        <w:t xml:space="preserve">  </w:t>
      </w:r>
    </w:p>
    <w:p w:rsidR="00F91BD9" w:rsidRDefault="00A97E5B">
      <w:pPr>
        <w:ind w:left="-15" w:right="60" w:firstLine="724"/>
        <w:jc w:val="both"/>
      </w:pPr>
      <w:r>
        <w:t>При уклонении (отказе) Покупателя</w:t>
      </w:r>
      <w:r>
        <w:rPr>
          <w:b/>
        </w:rPr>
        <w:t xml:space="preserve"> </w:t>
      </w:r>
      <w: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F91BD9" w:rsidRDefault="00A97E5B">
      <w:pPr>
        <w:ind w:left="-15" w:right="60" w:firstLine="724"/>
        <w:jc w:val="both"/>
        <w:rPr>
          <w:bCs/>
        </w:rPr>
      </w:pPr>
      <w:r>
        <w:t xml:space="preserve">В случае уклонения (отказа) победителя аукциона от </w:t>
      </w:r>
      <w:r>
        <w:t>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течении 5 (</w:t>
      </w:r>
      <w:r>
        <w:t>пяти) рабочих дней с даты получения от Организатора торгов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</w:t>
      </w:r>
      <w:r>
        <w:t xml:space="preserve"> в полном объеме путем безналичного перечисления денежных средств </w:t>
      </w:r>
      <w:r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:rsidR="00F91BD9" w:rsidRDefault="00A97E5B">
      <w:pPr>
        <w:ind w:left="-15" w:right="60"/>
        <w:jc w:val="both"/>
        <w:rPr>
          <w:rFonts w:cs="Times New Roman"/>
        </w:rPr>
      </w:pP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eastAsia="Courier New" w:cs="Times New Roman"/>
          <w:bCs/>
          <w:sz w:val="24"/>
          <w:szCs w:val="24"/>
        </w:rPr>
        <w:tab/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Сделки по итогам торгов подлежат заключению с учетом положен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покупатель.</w:t>
      </w:r>
    </w:p>
    <w:p w:rsidR="00F91BD9" w:rsidRDefault="00A97E5B">
      <w:pPr>
        <w:ind w:left="-15" w:right="60" w:firstLine="582"/>
        <w:jc w:val="both"/>
        <w:rPr>
          <w:rFonts w:cs="Times New Roman"/>
        </w:rPr>
      </w:pPr>
      <w:r>
        <w:rPr>
          <w:rFonts w:cs="Times New Roman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контактам Организатора торгов: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телефоны для справок: 8 (800)777-57-57, +79200466559 Егоршина Наталья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egorshina@radholding.ru</w:t>
      </w:r>
      <w:r>
        <w:rPr>
          <w:rFonts w:cs="Times New Roman"/>
          <w:b/>
          <w:bCs/>
          <w:color w:val="000000"/>
          <w:shd w:val="clear" w:color="auto" w:fill="FFFFFF"/>
        </w:rPr>
        <w:t>).</w:t>
      </w:r>
    </w:p>
    <w:p w:rsidR="00F91BD9" w:rsidRDefault="00F91BD9">
      <w:pPr>
        <w:ind w:right="60"/>
        <w:jc w:val="both"/>
      </w:pPr>
    </w:p>
    <w:sectPr w:rsidR="00F91BD9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4DA"/>
    <w:multiLevelType w:val="multilevel"/>
    <w:tmpl w:val="F9443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30219"/>
    <w:multiLevelType w:val="multilevel"/>
    <w:tmpl w:val="759E8D6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3F2F4E"/>
    <w:multiLevelType w:val="multilevel"/>
    <w:tmpl w:val="098CC55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B64B4E"/>
    <w:multiLevelType w:val="multilevel"/>
    <w:tmpl w:val="6CB6F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472514"/>
    <w:multiLevelType w:val="multilevel"/>
    <w:tmpl w:val="5F6C4C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9D81A68"/>
    <w:multiLevelType w:val="multilevel"/>
    <w:tmpl w:val="937C96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9"/>
    <w:rsid w:val="00A97E5B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D6D8-FF85-4F49-9B2E-8E7F119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b">
    <w:name w:val="line number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qFormat/>
    <w:rsid w:val="00D43803"/>
    <w:pPr>
      <w:textAlignment w:val="baseline"/>
    </w:pPr>
    <w:rPr>
      <w:rFonts w:eastAsia="Calibri"/>
      <w:kern w:val="2"/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eastAsia="Calibri"/>
      <w:color w:val="000000"/>
      <w:kern w:val="2"/>
      <w:sz w:val="24"/>
      <w:szCs w:val="24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Pr>
      <w:rFonts w:cs="Mangal"/>
      <w:sz w:val="20"/>
      <w:szCs w:val="18"/>
    </w:rPr>
  </w:style>
  <w:style w:type="paragraph" w:styleId="af6">
    <w:name w:val="No Spacing"/>
    <w:qFormat/>
    <w:rsid w:val="00E857B9"/>
    <w:rPr>
      <w:rFonts w:ascii="Verdana" w:eastAsia="Verdana" w:hAnsi="Verdana"/>
      <w:sz w:val="15"/>
      <w:szCs w:val="16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consultantplus://offline/main?base=LAW;n=72518;fld=134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FFD4-74B5-487F-910B-EAF86F7C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3030</Words>
  <Characters>17274</Characters>
  <Application>Microsoft Office Word</Application>
  <DocSecurity>0</DocSecurity>
  <Lines>143</Lines>
  <Paragraphs>40</Paragraphs>
  <ScaleCrop>false</ScaleCrop>
  <Company/>
  <LinksUpToDate>false</LinksUpToDate>
  <CharactersWithSpaces>20264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Егоршина Наталья Викторовна</cp:lastModifiedBy>
  <cp:revision>22</cp:revision>
  <cp:lastPrinted>2022-10-03T11:58:00Z</cp:lastPrinted>
  <dcterms:created xsi:type="dcterms:W3CDTF">2022-10-07T08:11:00Z</dcterms:created>
  <dcterms:modified xsi:type="dcterms:W3CDTF">2023-01-12T08:12:00Z</dcterms:modified>
  <dc:language>ru-RU</dc:language>
</cp:coreProperties>
</file>