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47E3A21" w:rsidR="00361B5A" w:rsidRDefault="00284530" w:rsidP="00361B5A">
      <w:pPr>
        <w:spacing w:before="120" w:after="120"/>
        <w:jc w:val="both"/>
        <w:rPr>
          <w:color w:val="000000"/>
        </w:rPr>
      </w:pPr>
      <w:r w:rsidRPr="0028453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Банком «Агентство расчетно-кредитная система» (акционерное общество) (АО «Арксбанк») (ОГРН 1026800000028, ИНН 6829000412, адрес регистрации: 105064, г. Москва, ул. Казакова, д. 27) конкурсным управляющим (ликвидатором) которого на основании решения Арбитражного суда г. Москвы от 21 сентября 2016 г. по делу №А40-168702/16-177-139Б является государственная корпорация «Агентство по страхованию вкладов» (109240, г. Москва, ул. Высоцкого, д. 4),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84530">
        <w:t>сообщение №02030163571 в газете АО «Коммерсантъ» от 03.11.2022 г. №205(7408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08.11.2022 г. </w:t>
      </w:r>
      <w:r w:rsidR="005877BD" w:rsidRPr="005877BD">
        <w:t>по</w:t>
      </w:r>
      <w:r>
        <w:t xml:space="preserve"> 11.01.2023 г.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84530" w:rsidRPr="00284530" w14:paraId="34D2CC50" w14:textId="77777777" w:rsidTr="00296C15">
        <w:trPr>
          <w:jc w:val="center"/>
        </w:trPr>
        <w:tc>
          <w:tcPr>
            <w:tcW w:w="1100" w:type="dxa"/>
          </w:tcPr>
          <w:p w14:paraId="296D456D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8453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0D23AA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8453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1E0C05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8453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2BFFECB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8453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A9EAFFF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8453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84530" w:rsidRPr="00284530" w14:paraId="150D9D3B" w14:textId="77777777" w:rsidTr="00296C15">
        <w:trPr>
          <w:trHeight w:val="546"/>
          <w:jc w:val="center"/>
        </w:trPr>
        <w:tc>
          <w:tcPr>
            <w:tcW w:w="1100" w:type="dxa"/>
            <w:vAlign w:val="center"/>
          </w:tcPr>
          <w:p w14:paraId="15F4EA83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845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6FD56812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84530">
              <w:rPr>
                <w:rFonts w:eastAsia="Calibri"/>
                <w:sz w:val="22"/>
                <w:szCs w:val="22"/>
                <w:lang w:eastAsia="en-US"/>
              </w:rPr>
              <w:t>2023-0935/115</w:t>
            </w:r>
          </w:p>
        </w:tc>
        <w:tc>
          <w:tcPr>
            <w:tcW w:w="2126" w:type="dxa"/>
            <w:vAlign w:val="center"/>
          </w:tcPr>
          <w:p w14:paraId="69067B7D" w14:textId="77777777" w:rsidR="00284530" w:rsidRPr="00284530" w:rsidRDefault="00284530" w:rsidP="0028453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84530">
              <w:rPr>
                <w:rFonts w:eastAsia="Calibri"/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410" w:type="dxa"/>
            <w:vAlign w:val="center"/>
          </w:tcPr>
          <w:p w14:paraId="38BC5B7A" w14:textId="77777777" w:rsidR="00284530" w:rsidRPr="00284530" w:rsidRDefault="00284530" w:rsidP="0028453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84530">
              <w:rPr>
                <w:rFonts w:eastAsia="Calibri"/>
                <w:kern w:val="1"/>
                <w:sz w:val="22"/>
                <w:szCs w:val="22"/>
                <w:lang w:eastAsia="en-US"/>
              </w:rPr>
              <w:t>300 000,00</w:t>
            </w:r>
          </w:p>
        </w:tc>
        <w:tc>
          <w:tcPr>
            <w:tcW w:w="2268" w:type="dxa"/>
            <w:vAlign w:val="center"/>
          </w:tcPr>
          <w:p w14:paraId="2D0E34D5" w14:textId="77777777" w:rsidR="00284530" w:rsidRPr="00284530" w:rsidRDefault="00284530" w:rsidP="00284530">
            <w:pPr>
              <w:suppressAutoHyphens/>
              <w:jc w:val="both"/>
              <w:rPr>
                <w:spacing w:val="3"/>
                <w:sz w:val="22"/>
                <w:szCs w:val="22"/>
              </w:rPr>
            </w:pPr>
            <w:r w:rsidRPr="00284530">
              <w:rPr>
                <w:rFonts w:eastAsia="Calibri"/>
                <w:kern w:val="1"/>
                <w:sz w:val="22"/>
                <w:szCs w:val="22"/>
                <w:lang w:eastAsia="en-US"/>
              </w:rPr>
              <w:t>ООО «Солтан Роял»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453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28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2023-01-31T12:00:00Z</dcterms:modified>
</cp:coreProperties>
</file>