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5F27AB5C" w:rsidR="00EE2718" w:rsidRPr="00304C15" w:rsidRDefault="00C5251F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</w:t>
      </w:r>
      <w:r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Банк энергетического машиностроения (ЭНЕРГОМАШБАНК) публичное акционерное общество (ПАО «</w:t>
      </w:r>
      <w:proofErr w:type="spellStart"/>
      <w:r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Энергомашбанк</w:t>
      </w:r>
      <w:proofErr w:type="spellEnd"/>
      <w:r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»),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197110, г. Санкт-Петербург, ул. Петрозаводская, д. 11, лит. А, ИНН 7831000066, ОГРН 1027800001261) (далее – финансовая организация), конкурсным управляющим (ликвидатором) которого на основании решения Арбитражного суда г. Санкт-Петербурга и Ленинградской области от 10 сентября 2021 г. по делу № А56-60344/2021 является государственная корпорация «Агентство по страхованию вкладов» (109240, г. Москва, ул. Высоцкого, д. 4) (далее – КУ), </w:t>
      </w:r>
      <w:r w:rsidR="00662676"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304C15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0777485A" w:rsidR="00EE2718" w:rsidRPr="00304C15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C47AB1"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977EA"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C5251F"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-7</w:t>
      </w:r>
      <w:r w:rsidR="00D977EA"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C5251F"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4FBDE080" w:rsidR="00EE2718" w:rsidRPr="00304C15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9553DE"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</w:t>
      </w:r>
      <w:r w:rsidR="00C5251F"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</w:t>
      </w:r>
      <w:r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62B2C1A3" w14:textId="54D1FC87" w:rsidR="00851CD7" w:rsidRPr="00304C15" w:rsidRDefault="00C5251F" w:rsidP="00851C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16D1B4BE" w14:textId="1574B63B" w:rsidR="000B5FC6" w:rsidRPr="00304C15" w:rsidRDefault="000B5FC6" w:rsidP="00851C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01B0D81E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Лот 1 - Нежилое здание (магазин) - 436,1 кв. м, адрес: Московская обл., Истринский р-н, с/пос.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</w:rPr>
        <w:t>Лучинское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</w:rPr>
        <w:t>Котерево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, стр.1, земельный участок - 300 кв. м, адрес: установлено относительно ориентира, расположенного за пределами участка, ориентир жилого дома, участок находится примерно в 190 м от ориентира по направлению на юго-восток, почтовый адрес ориентира: Московская обл., Истринский р-н, с/пос.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</w:rPr>
        <w:t>Лучинское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</w:rPr>
        <w:t>Котерево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, д. 30, 2-этажное, в том числе подземных - 1, кадастровые номера 50:08:0000000:6219, 50:08:0060335:97, земли населённых пунктов - под строительство магазина, ограничения и обременения: на части з/у установлены ограничения, предусмотренные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</w:rPr>
        <w:t>ст.ст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>. 56, 56.1 ЗК РФ, 50.00.2.405, 50.00.2.462, Постановлением Правительства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160 от 24.02.2009 - 12 870 900,00 руб.;</w:t>
      </w:r>
    </w:p>
    <w:p w14:paraId="785F9DA2" w14:textId="397FA251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Лот 2 - Жилой дом - 633,9 кв. м, земельный участок - 2 534 +/- 18 кв. м, адрес: г. Санкт-Петербург, Лахта, ул. Новая, д. 33, корп. 6, лит. А, имущество (147 поз.), 3-этажный, кадастровые номера 78:34:0004306:74, 78:34:0004306:21, земли населенных пунктов - для размещения индивидуального жилого дома (индивидуальных жилых построек), ограничения и обременения: зарегистрированные в жилом доме лица и право пользования жилым помещением у третьих лиц - отсутствует, прочие ограничения (обременения), охранная зона водопроводных сетей площадью 416 кв. м, охранная зона газораспределительной сети площадью 76 кв. м, техническая зона площадью 457 кв. м, ограничения, предусмотренные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</w:rPr>
        <w:t>ст.ст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>. 56, 56.1 ЗК РФ - 63 508 950,00 руб.;</w:t>
      </w:r>
    </w:p>
    <w:p w14:paraId="7082CFB2" w14:textId="19CDB77C" w:rsidR="000B5FC6" w:rsidRPr="00304C15" w:rsidRDefault="000B5FC6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ab/>
        <w:t>Транспортные средства:</w:t>
      </w:r>
    </w:p>
    <w:p w14:paraId="072F4C8A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Лот 3 -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Volkswagen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K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Caddy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, темно-серый, 2011, 221 909 км, 1.2 МТ (86 л. с.), бензин, передний,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VIN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WV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ZZZ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KZBX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253601, видеорегистратор, бортовой комплект, информация о коробке передач отсутствует, г. Санкт-Петербург - 575 839,83 руб.;</w:t>
      </w:r>
    </w:p>
    <w:p w14:paraId="3C97F7EA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Лот 4 -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Chevrolet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Klan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J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200/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Chevrolet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Lacetti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), серый, 2010, пробег - нет данных, 1.6 АТ (109 л. с.), бензин, передний,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VIN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XUUNF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356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JA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0008291, замок на капот, отсутствует доступ в салон и капот, видеорегистратор, бортовой комплект, г. Санкт-Петербург - 423 875,59 руб.;</w:t>
      </w:r>
    </w:p>
    <w:p w14:paraId="2D0EA52D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Лот 5 - ГАС 19523, бежевый с зеленой полосой, 2011, 313 288 км, 2.3 МТ (110 л. с.), дизель,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VIN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89195230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CK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6280, фургон цельнометаллический бронированный специализированный, бортовой комплект оборудования - блок контроля местоположения, видеорегистратор, коврики, информация о коробке передач, приводе отсутствует, г. Санкт-Петербург - 1 032 480,00 руб.;</w:t>
      </w:r>
    </w:p>
    <w:p w14:paraId="25E368AB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Лот 6 -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Renault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Master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, белый, 2017, 93 324 км, 2.3 МТ (125 л. с.), дизель,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VIN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Р1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MAFESA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57883723, грузовой фургон, бортовой комплект оборудования - блок контроля местоположения, видеорегистратор, коврики, информация о коробке передач, приводе отсутствует, г. Санкт-Петербург - 1 879 660,67 руб.;</w:t>
      </w:r>
    </w:p>
    <w:p w14:paraId="2033403D" w14:textId="0404C506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Лот 7 -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Fiat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Ducato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, белый, 2012, 242 772 км, 2.3 МТ (110 л. с.), дизель,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VIN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244000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BS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026823, грузовой фургон, бортовой комплект оборудования - блок контроля местоположения, видеорегистратор, коврики, информация о коробке передач, приводе отсутствует, г. Санкт-Петербург - 1 139 148,46 руб.;</w:t>
      </w:r>
    </w:p>
    <w:p w14:paraId="46073AC4" w14:textId="4419DB0B" w:rsidR="000B5FC6" w:rsidRPr="00304C15" w:rsidRDefault="000B5FC6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ab/>
        <w:t>Основные средства:</w:t>
      </w:r>
    </w:p>
    <w:p w14:paraId="69342F03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Лот 8 -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</w:rPr>
        <w:t>Криптошлюз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</w:rPr>
        <w:t>ИнфоТеКС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ViPNet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Coordinator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HW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1000 (2 шт.), г. Санкт-Петербург - 9 305,08 руб.;</w:t>
      </w:r>
    </w:p>
    <w:p w14:paraId="11FC718A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Лот 9 - Система видеонаблюдения, г. Санкт-Петербург - 24 178,82 руб.;</w:t>
      </w:r>
    </w:p>
    <w:p w14:paraId="1C9C80BE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Лот 10 - Система видеонаблюдения, г. Санкт-Петербург - 42 373,84 руб.;</w:t>
      </w:r>
    </w:p>
    <w:p w14:paraId="3B03C90C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Лот 11 - Вывеска световая «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</w:rPr>
        <w:t>ЭнергомашБанк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>», крышная установка «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</w:rPr>
        <w:t>ЭнергоМашБанк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>», г. Санкт-Петербург - 12 186,00 руб.;</w:t>
      </w:r>
    </w:p>
    <w:p w14:paraId="1B44AAE7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Лот 12 - Дизель-генераторная установка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GEN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82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на прицепе ПСТ-2,0, г. Санкт-Петербург - 1 255 792,82 руб.;</w:t>
      </w:r>
    </w:p>
    <w:p w14:paraId="345D15B8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Лот 13 - Банкомат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NCR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мод. 6622, г. Санкт-Петербург - 17 931,24 руб.;</w:t>
      </w:r>
    </w:p>
    <w:p w14:paraId="7216F75A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Лот 14 - Банкомат АТМ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SelfServ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22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Lobby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6622, г. Санкт-Петербург - 14 058,12 руб.;</w:t>
      </w:r>
    </w:p>
    <w:p w14:paraId="761C2AC8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Лот 15 - Банкомат АТМ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SelfServ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22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Lobby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6622, г. Санкт-Петербург - 15 856,47 руб.;</w:t>
      </w:r>
    </w:p>
    <w:p w14:paraId="31A23ADC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Лот 16 - Банкомат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ATM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SelfServ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25, г. Санкт-Петербург - 22 655,16 руб.;</w:t>
      </w:r>
    </w:p>
    <w:p w14:paraId="37B8DBAB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Лот 17 - Банкомат АТМ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SelfServ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22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Lobby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6622, г. Санкт-Петербург - 16 444,90 руб.;</w:t>
      </w:r>
    </w:p>
    <w:p w14:paraId="49D00F7B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Лот 18 - Банкомат АТМ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SelfServ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22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Lobby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6622, г. Санкт-Петербург - 15 569,00 руб.;</w:t>
      </w:r>
    </w:p>
    <w:p w14:paraId="4DEEABCA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Лот 19 - Банкомат АТМ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SelfServ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22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Lobby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6622, г. Санкт-Петербург - 16 016,79 руб.;</w:t>
      </w:r>
    </w:p>
    <w:p w14:paraId="58413082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Лот 20 - Банкомат АТМ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SelfServ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22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Lobby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6622, г. Санкт-Петербург - 14 356,65 руб.;</w:t>
      </w:r>
    </w:p>
    <w:p w14:paraId="57EEDA0B" w14:textId="77777777" w:rsidR="002C60E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Лот 21 - Банкомат АТМ </w:t>
      </w:r>
      <w:proofErr w:type="spellStart"/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SelfServ</w:t>
      </w:r>
      <w:proofErr w:type="spellEnd"/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22 </w:t>
      </w:r>
      <w:r w:rsidRPr="00304C15">
        <w:rPr>
          <w:rFonts w:ascii="Times New Roman" w:hAnsi="Times New Roman" w:cs="Times New Roman"/>
          <w:color w:val="000000"/>
          <w:sz w:val="24"/>
          <w:szCs w:val="24"/>
          <w:lang w:val="en-US"/>
        </w:rPr>
        <w:t>Lobby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6622, г. Санкт-Петербург - 15 856,47 руб.;</w:t>
      </w:r>
    </w:p>
    <w:p w14:paraId="2D5B850F" w14:textId="6C4715B5" w:rsidR="00C5251F" w:rsidRPr="00304C15" w:rsidRDefault="002C60EF" w:rsidP="000B5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Лот 22 - Стол переговорный, стойка операциониста 160-80-113 см., стойка и 4 тумбы к ней, ресепшен на 8 раб. мест, г. Санкт-Петербург - 67 717,94 руб.</w:t>
      </w:r>
    </w:p>
    <w:p w14:paraId="63AC13C9" w14:textId="31DC58BB" w:rsidR="00662676" w:rsidRPr="00304C15" w:rsidRDefault="00662676" w:rsidP="006845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04C15">
          <w:rPr>
            <w:rStyle w:val="a4"/>
            <w:rFonts w:ascii="Times New Roman" w:hAnsi="Times New Roman"/>
            <w:sz w:val="24"/>
            <w:szCs w:val="24"/>
          </w:rPr>
          <w:t>www.asv.org.ru</w:t>
        </w:r>
      </w:hyperlink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" w:history="1">
        <w:r w:rsidRPr="00304C15">
          <w:rPr>
            <w:rStyle w:val="a4"/>
            <w:rFonts w:ascii="Times New Roman" w:hAnsi="Times New Roman"/>
            <w:color w:val="27509B"/>
            <w:sz w:val="24"/>
            <w:szCs w:val="24"/>
            <w:bdr w:val="none" w:sz="0" w:space="0" w:color="auto" w:frame="1"/>
          </w:rPr>
          <w:t>www.torgiasv.ru</w:t>
        </w:r>
      </w:hyperlink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B7FEA7F" w14:textId="545B7D82" w:rsidR="00662676" w:rsidRPr="00304C15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04C15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2C60EF" w:rsidRPr="00304C15">
        <w:t>5</w:t>
      </w:r>
      <w:r w:rsidR="007E0FAC" w:rsidRPr="00304C15">
        <w:t xml:space="preserve"> (</w:t>
      </w:r>
      <w:r w:rsidR="002C60EF" w:rsidRPr="00304C15">
        <w:t>П</w:t>
      </w:r>
      <w:r w:rsidR="007E0FAC" w:rsidRPr="00304C15">
        <w:t>ять)</w:t>
      </w:r>
      <w:r w:rsidR="00003DFC" w:rsidRPr="00304C15">
        <w:t xml:space="preserve"> </w:t>
      </w:r>
      <w:r w:rsidRPr="00304C15">
        <w:rPr>
          <w:color w:val="000000"/>
        </w:rPr>
        <w:t>процентов от начальной цены продажи предмета Торгов (лота).</w:t>
      </w:r>
    </w:p>
    <w:p w14:paraId="3AB884ED" w14:textId="42A73DEA" w:rsidR="007E0FAC" w:rsidRPr="00304C15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304C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C60EF" w:rsidRPr="00304C15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Pr="00304C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F4E80" w:rsidRPr="00304C15">
        <w:rPr>
          <w:rFonts w:ascii="Times New Roman" w:hAnsi="Times New Roman" w:cs="Times New Roman"/>
          <w:b/>
          <w:color w:val="000000"/>
          <w:sz w:val="24"/>
          <w:szCs w:val="24"/>
        </w:rPr>
        <w:t>января</w:t>
      </w:r>
      <w:r w:rsidRPr="00304C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b/>
          <w:sz w:val="24"/>
          <w:szCs w:val="24"/>
        </w:rPr>
        <w:t>202</w:t>
      </w:r>
      <w:r w:rsidR="00CF4E80" w:rsidRPr="00304C15">
        <w:rPr>
          <w:rFonts w:ascii="Times New Roman" w:hAnsi="Times New Roman" w:cs="Times New Roman"/>
          <w:b/>
          <w:sz w:val="24"/>
          <w:szCs w:val="24"/>
        </w:rPr>
        <w:t>3</w:t>
      </w:r>
      <w:r w:rsidRPr="00304C1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04C15">
        <w:rPr>
          <w:rFonts w:ascii="Times New Roman" w:hAnsi="Times New Roman" w:cs="Times New Roman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304C15">
          <w:rPr>
            <w:rStyle w:val="a4"/>
            <w:rFonts w:ascii="Times New Roman" w:hAnsi="Times New Roman"/>
            <w:sz w:val="24"/>
            <w:szCs w:val="24"/>
          </w:rPr>
          <w:t>http://lot-online.ru</w:t>
        </w:r>
      </w:hyperlink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ЭТП).</w:t>
      </w:r>
    </w:p>
    <w:p w14:paraId="53D04A98" w14:textId="77777777" w:rsidR="007E0FAC" w:rsidRPr="00304C15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8CA8288" w14:textId="77777777" w:rsidR="007E0FAC" w:rsidRPr="00304C15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BFE8908" w14:textId="77777777" w:rsidR="007E0FAC" w:rsidRPr="00304C15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3EDBA17E" w14:textId="5BC430AE" w:rsidR="007E0FAC" w:rsidRPr="00304C15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по итогам Торгов, назначенных на </w:t>
      </w:r>
      <w:r w:rsidR="002C60EF" w:rsidRPr="00304C15">
        <w:rPr>
          <w:rFonts w:ascii="Times New Roman" w:hAnsi="Times New Roman" w:cs="Times New Roman"/>
          <w:bCs/>
          <w:color w:val="000000"/>
          <w:sz w:val="24"/>
          <w:szCs w:val="24"/>
        </w:rPr>
        <w:t>31</w:t>
      </w:r>
      <w:r w:rsidRPr="00304C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F4E80" w:rsidRPr="00304C15">
        <w:rPr>
          <w:rFonts w:ascii="Times New Roman" w:hAnsi="Times New Roman" w:cs="Times New Roman"/>
          <w:bCs/>
          <w:color w:val="000000"/>
          <w:sz w:val="24"/>
          <w:szCs w:val="24"/>
        </w:rPr>
        <w:t>января</w:t>
      </w:r>
      <w:r w:rsidRPr="00304C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bCs/>
          <w:sz w:val="24"/>
          <w:szCs w:val="24"/>
        </w:rPr>
        <w:t>202</w:t>
      </w:r>
      <w:r w:rsidR="00CF4E80" w:rsidRPr="00304C15">
        <w:rPr>
          <w:rFonts w:ascii="Times New Roman" w:hAnsi="Times New Roman" w:cs="Times New Roman"/>
          <w:bCs/>
          <w:sz w:val="24"/>
          <w:szCs w:val="24"/>
        </w:rPr>
        <w:t>3</w:t>
      </w:r>
      <w:r w:rsidRPr="00304C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bCs/>
          <w:color w:val="000000"/>
          <w:sz w:val="24"/>
          <w:szCs w:val="24"/>
        </w:rPr>
        <w:t>г.,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2C60EF" w:rsidRPr="00304C15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304C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F4E80" w:rsidRPr="00304C15">
        <w:rPr>
          <w:rFonts w:ascii="Times New Roman" w:hAnsi="Times New Roman" w:cs="Times New Roman"/>
          <w:b/>
          <w:color w:val="000000"/>
          <w:sz w:val="24"/>
          <w:szCs w:val="24"/>
        </w:rPr>
        <w:t>марта</w:t>
      </w:r>
      <w:r w:rsidRPr="00304C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b/>
          <w:sz w:val="24"/>
          <w:szCs w:val="24"/>
        </w:rPr>
        <w:t>202</w:t>
      </w:r>
      <w:r w:rsidR="009553DE" w:rsidRPr="00304C15">
        <w:rPr>
          <w:rFonts w:ascii="Times New Roman" w:hAnsi="Times New Roman" w:cs="Times New Roman"/>
          <w:b/>
          <w:sz w:val="24"/>
          <w:szCs w:val="24"/>
        </w:rPr>
        <w:t>3</w:t>
      </w:r>
      <w:r w:rsidRPr="00304C1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04C15">
        <w:rPr>
          <w:rFonts w:ascii="Times New Roman" w:hAnsi="Times New Roman" w:cs="Times New Roman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304C15">
        <w:rPr>
          <w:rFonts w:ascii="Times New Roman" w:hAnsi="Times New Roman" w:cs="Times New Roman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0ACF3159" w14:textId="77777777" w:rsidR="007E0FAC" w:rsidRPr="00304C15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49A4DD40" w14:textId="4A5C0EFF" w:rsidR="007E0FAC" w:rsidRPr="00304C15" w:rsidRDefault="007E0FAC" w:rsidP="007E0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2C60EF"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 w:rsidR="00D977EA"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дека</w:t>
      </w:r>
      <w:r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бря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b/>
          <w:sz w:val="24"/>
          <w:szCs w:val="24"/>
        </w:rPr>
        <w:t>2022 г.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2C60EF"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 февраля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b/>
          <w:sz w:val="24"/>
          <w:szCs w:val="24"/>
        </w:rPr>
        <w:t>202</w:t>
      </w:r>
      <w:r w:rsidR="00CF4E80" w:rsidRPr="00304C15">
        <w:rPr>
          <w:rFonts w:ascii="Times New Roman" w:hAnsi="Times New Roman" w:cs="Times New Roman"/>
          <w:b/>
          <w:sz w:val="24"/>
          <w:szCs w:val="24"/>
        </w:rPr>
        <w:t>3</w:t>
      </w:r>
      <w:r w:rsidRPr="00304C1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4988B22B" w:rsidR="00EE2718" w:rsidRPr="00304C15" w:rsidRDefault="00EE2718" w:rsidP="007E0F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04C15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304C15">
        <w:rPr>
          <w:b/>
          <w:color w:val="000000"/>
        </w:rPr>
        <w:t xml:space="preserve"> лот</w:t>
      </w:r>
      <w:r w:rsidR="00C47AB1" w:rsidRPr="00304C15">
        <w:rPr>
          <w:b/>
          <w:color w:val="000000"/>
        </w:rPr>
        <w:t>ы</w:t>
      </w:r>
      <w:r w:rsidR="00240848" w:rsidRPr="00304C15">
        <w:rPr>
          <w:b/>
          <w:color w:val="000000"/>
        </w:rPr>
        <w:t xml:space="preserve"> </w:t>
      </w:r>
      <w:r w:rsidR="00D977EA" w:rsidRPr="00304C15">
        <w:rPr>
          <w:b/>
          <w:color w:val="000000"/>
        </w:rPr>
        <w:t>1</w:t>
      </w:r>
      <w:r w:rsidR="002C60EF" w:rsidRPr="00304C15">
        <w:rPr>
          <w:b/>
          <w:color w:val="000000"/>
        </w:rPr>
        <w:t>-7</w:t>
      </w:r>
      <w:r w:rsidR="00D977EA" w:rsidRPr="00304C15">
        <w:rPr>
          <w:b/>
          <w:color w:val="000000"/>
        </w:rPr>
        <w:t xml:space="preserve">, </w:t>
      </w:r>
      <w:r w:rsidR="002C60EF" w:rsidRPr="00304C15">
        <w:rPr>
          <w:b/>
          <w:color w:val="000000"/>
        </w:rPr>
        <w:t>12</w:t>
      </w:r>
      <w:r w:rsidRPr="00304C15">
        <w:rPr>
          <w:color w:val="000000"/>
        </w:rPr>
        <w:t>, не реализованны</w:t>
      </w:r>
      <w:r w:rsidR="00C47AB1" w:rsidRPr="00304C15">
        <w:rPr>
          <w:color w:val="000000"/>
        </w:rPr>
        <w:t>е</w:t>
      </w:r>
      <w:r w:rsidRPr="00304C15">
        <w:rPr>
          <w:color w:val="000000"/>
        </w:rPr>
        <w:t xml:space="preserve"> на повторных Торгах, а также</w:t>
      </w:r>
      <w:r w:rsidR="000067AA" w:rsidRPr="00304C15">
        <w:rPr>
          <w:b/>
          <w:color w:val="000000"/>
        </w:rPr>
        <w:t xml:space="preserve"> лот</w:t>
      </w:r>
      <w:r w:rsidR="002C60EF" w:rsidRPr="00304C15">
        <w:rPr>
          <w:b/>
          <w:color w:val="000000"/>
        </w:rPr>
        <w:t>ы</w:t>
      </w:r>
      <w:r w:rsidR="00735EAD" w:rsidRPr="00304C15">
        <w:rPr>
          <w:b/>
          <w:color w:val="000000"/>
        </w:rPr>
        <w:t xml:space="preserve"> </w:t>
      </w:r>
      <w:r w:rsidR="002C60EF" w:rsidRPr="00304C15">
        <w:rPr>
          <w:b/>
          <w:color w:val="000000"/>
        </w:rPr>
        <w:t>8-11, 13-22</w:t>
      </w:r>
      <w:r w:rsidRPr="00304C15">
        <w:rPr>
          <w:color w:val="000000"/>
        </w:rPr>
        <w:t>, выставляются на Торги ППП.</w:t>
      </w:r>
    </w:p>
    <w:p w14:paraId="3A58795C" w14:textId="76E35B6C" w:rsidR="007E0FAC" w:rsidRPr="00304C15" w:rsidRDefault="00662676" w:rsidP="00D977E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04C15">
        <w:rPr>
          <w:b/>
          <w:bCs/>
          <w:color w:val="000000"/>
        </w:rPr>
        <w:lastRenderedPageBreak/>
        <w:t>Торги ППП</w:t>
      </w:r>
      <w:r w:rsidRPr="00304C15">
        <w:rPr>
          <w:color w:val="000000"/>
          <w:shd w:val="clear" w:color="auto" w:fill="FFFFFF"/>
        </w:rPr>
        <w:t xml:space="preserve"> будут проведены на ЭТП</w:t>
      </w:r>
      <w:r w:rsidR="00D977EA" w:rsidRPr="00304C15">
        <w:rPr>
          <w:color w:val="000000"/>
          <w:shd w:val="clear" w:color="auto" w:fill="FFFFFF"/>
        </w:rPr>
        <w:t xml:space="preserve"> </w:t>
      </w:r>
      <w:r w:rsidR="007E0FAC" w:rsidRPr="00304C15">
        <w:rPr>
          <w:b/>
          <w:bCs/>
          <w:color w:val="000000"/>
        </w:rPr>
        <w:t xml:space="preserve">с </w:t>
      </w:r>
      <w:r w:rsidR="002C60EF" w:rsidRPr="00304C15">
        <w:rPr>
          <w:b/>
          <w:bCs/>
          <w:color w:val="000000"/>
        </w:rPr>
        <w:t>24</w:t>
      </w:r>
      <w:r w:rsidR="00CF4E80" w:rsidRPr="00304C15">
        <w:rPr>
          <w:b/>
          <w:bCs/>
          <w:color w:val="000000"/>
        </w:rPr>
        <w:t xml:space="preserve"> марта</w:t>
      </w:r>
      <w:r w:rsidR="007E0FAC" w:rsidRPr="00304C15">
        <w:rPr>
          <w:b/>
          <w:bCs/>
          <w:color w:val="000000"/>
        </w:rPr>
        <w:t xml:space="preserve"> </w:t>
      </w:r>
      <w:r w:rsidR="007E0FAC" w:rsidRPr="00304C15">
        <w:rPr>
          <w:b/>
        </w:rPr>
        <w:t>202</w:t>
      </w:r>
      <w:r w:rsidR="009553DE" w:rsidRPr="00304C15">
        <w:rPr>
          <w:b/>
        </w:rPr>
        <w:t>3</w:t>
      </w:r>
      <w:r w:rsidR="007E0FAC" w:rsidRPr="00304C15">
        <w:rPr>
          <w:b/>
        </w:rPr>
        <w:t xml:space="preserve"> г.</w:t>
      </w:r>
      <w:r w:rsidR="007E0FAC" w:rsidRPr="00304C15">
        <w:rPr>
          <w:b/>
          <w:bCs/>
          <w:color w:val="000000"/>
        </w:rPr>
        <w:t xml:space="preserve"> по </w:t>
      </w:r>
      <w:r w:rsidR="002C60EF" w:rsidRPr="00304C15">
        <w:rPr>
          <w:b/>
          <w:bCs/>
          <w:color w:val="000000"/>
        </w:rPr>
        <w:t>13 июля</w:t>
      </w:r>
      <w:r w:rsidR="00394853" w:rsidRPr="00304C15">
        <w:rPr>
          <w:b/>
          <w:bCs/>
          <w:color w:val="000000"/>
        </w:rPr>
        <w:t xml:space="preserve"> </w:t>
      </w:r>
      <w:r w:rsidR="007E0FAC" w:rsidRPr="00304C15">
        <w:rPr>
          <w:b/>
        </w:rPr>
        <w:t>2023 г.</w:t>
      </w:r>
    </w:p>
    <w:p w14:paraId="2D284BB7" w14:textId="192D0D5C" w:rsidR="00EE2718" w:rsidRPr="00304C15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04C15">
        <w:rPr>
          <w:color w:val="000000"/>
        </w:rPr>
        <w:t>Заявки на участие в Торгах ППП принимаются Оператором, начиная с 00:</w:t>
      </w:r>
      <w:r w:rsidR="00F104BD" w:rsidRPr="00304C15">
        <w:rPr>
          <w:color w:val="000000"/>
        </w:rPr>
        <w:t>00</w:t>
      </w:r>
      <w:r w:rsidRPr="00304C15">
        <w:rPr>
          <w:color w:val="000000"/>
        </w:rPr>
        <w:t xml:space="preserve"> часов по московскому времени </w:t>
      </w:r>
      <w:r w:rsidR="002C60EF" w:rsidRPr="00304C15">
        <w:rPr>
          <w:b/>
          <w:bCs/>
          <w:color w:val="000000"/>
        </w:rPr>
        <w:t>24</w:t>
      </w:r>
      <w:r w:rsidR="00CF4E80" w:rsidRPr="00304C15">
        <w:rPr>
          <w:b/>
          <w:bCs/>
          <w:color w:val="000000"/>
        </w:rPr>
        <w:t xml:space="preserve"> марта</w:t>
      </w:r>
      <w:r w:rsidR="009553DE" w:rsidRPr="00304C15">
        <w:rPr>
          <w:b/>
          <w:bCs/>
          <w:color w:val="000000"/>
        </w:rPr>
        <w:t xml:space="preserve"> 2023 </w:t>
      </w:r>
      <w:r w:rsidR="007E0FAC" w:rsidRPr="00304C15">
        <w:rPr>
          <w:b/>
          <w:bCs/>
          <w:color w:val="000000"/>
        </w:rPr>
        <w:t>г.</w:t>
      </w:r>
      <w:r w:rsidRPr="00304C15">
        <w:rPr>
          <w:color w:val="000000"/>
        </w:rPr>
        <w:t xml:space="preserve"> Прием заявок на участие в Торгах ППП и задатков прекращается </w:t>
      </w:r>
      <w:r w:rsidR="00D977EA" w:rsidRPr="00304C15">
        <w:rPr>
          <w:color w:val="000000"/>
        </w:rPr>
        <w:t xml:space="preserve">за </w:t>
      </w:r>
      <w:r w:rsidR="002C60EF" w:rsidRPr="00304C15">
        <w:rPr>
          <w:color w:val="000000"/>
        </w:rPr>
        <w:t>5</w:t>
      </w:r>
      <w:r w:rsidR="00834CD6" w:rsidRPr="00304C15">
        <w:rPr>
          <w:color w:val="000000"/>
        </w:rPr>
        <w:t xml:space="preserve"> (</w:t>
      </w:r>
      <w:r w:rsidR="002C60EF" w:rsidRPr="00304C15">
        <w:rPr>
          <w:color w:val="000000"/>
        </w:rPr>
        <w:t>Пять</w:t>
      </w:r>
      <w:r w:rsidR="00834CD6" w:rsidRPr="00304C15">
        <w:rPr>
          <w:color w:val="000000"/>
        </w:rPr>
        <w:t>) календарны</w:t>
      </w:r>
      <w:r w:rsidR="002C60EF" w:rsidRPr="00304C15">
        <w:rPr>
          <w:color w:val="000000"/>
        </w:rPr>
        <w:t>х</w:t>
      </w:r>
      <w:r w:rsidR="00834CD6" w:rsidRPr="00304C15">
        <w:rPr>
          <w:color w:val="000000"/>
        </w:rPr>
        <w:t xml:space="preserve"> д</w:t>
      </w:r>
      <w:r w:rsidR="002C60EF" w:rsidRPr="00304C15">
        <w:rPr>
          <w:color w:val="000000"/>
        </w:rPr>
        <w:t>ней</w:t>
      </w:r>
      <w:r w:rsidR="00834CD6" w:rsidRPr="00304C15">
        <w:rPr>
          <w:color w:val="000000"/>
        </w:rPr>
        <w:t xml:space="preserve"> </w:t>
      </w:r>
      <w:r w:rsidRPr="00304C15">
        <w:rPr>
          <w:color w:val="000000"/>
        </w:rPr>
        <w:t>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304C15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04C15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304C15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04C15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304C15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04C15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304C15">
        <w:rPr>
          <w:color w:val="000000"/>
        </w:rPr>
        <w:t>:</w:t>
      </w:r>
    </w:p>
    <w:p w14:paraId="1E210FB7" w14:textId="73BF8ACC" w:rsidR="00EE2718" w:rsidRPr="00304C15" w:rsidRDefault="000067AA" w:rsidP="000579A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04C15">
        <w:rPr>
          <w:b/>
          <w:color w:val="000000"/>
        </w:rPr>
        <w:t>Для лот</w:t>
      </w:r>
      <w:r w:rsidR="002C60EF" w:rsidRPr="00304C15">
        <w:rPr>
          <w:b/>
          <w:color w:val="000000"/>
        </w:rPr>
        <w:t>ов</w:t>
      </w:r>
      <w:r w:rsidR="00C035F0" w:rsidRPr="00304C15">
        <w:rPr>
          <w:b/>
          <w:color w:val="000000"/>
        </w:rPr>
        <w:t xml:space="preserve"> </w:t>
      </w:r>
      <w:r w:rsidR="00834CD6" w:rsidRPr="00304C15">
        <w:rPr>
          <w:b/>
          <w:color w:val="000000"/>
        </w:rPr>
        <w:t>1</w:t>
      </w:r>
      <w:r w:rsidR="002C60EF" w:rsidRPr="00304C15">
        <w:rPr>
          <w:b/>
          <w:color w:val="000000"/>
        </w:rPr>
        <w:t>-7, 12</w:t>
      </w:r>
      <w:r w:rsidRPr="00304C15">
        <w:rPr>
          <w:b/>
          <w:color w:val="000000"/>
        </w:rPr>
        <w:t>:</w:t>
      </w:r>
    </w:p>
    <w:p w14:paraId="6360FE71" w14:textId="77777777" w:rsidR="000579A9" w:rsidRPr="00304C15" w:rsidRDefault="000579A9" w:rsidP="00484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304C15">
        <w:rPr>
          <w:color w:val="000000"/>
        </w:rPr>
        <w:t>с 24 марта 2023 г. по 04 мая 2023 г. - в размере начальной цены продажи лотов;</w:t>
      </w:r>
    </w:p>
    <w:p w14:paraId="1B0E24C5" w14:textId="77777777" w:rsidR="000579A9" w:rsidRPr="00304C15" w:rsidRDefault="000579A9" w:rsidP="00484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304C15">
        <w:rPr>
          <w:color w:val="000000"/>
        </w:rPr>
        <w:t>с 05 мая 2023 г. по 11 мая 2023 г. - в размере 96,17% от начальной цены продажи лотов;</w:t>
      </w:r>
    </w:p>
    <w:p w14:paraId="08A56CBE" w14:textId="77777777" w:rsidR="000579A9" w:rsidRPr="00304C15" w:rsidRDefault="000579A9" w:rsidP="00484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304C15">
        <w:rPr>
          <w:color w:val="000000"/>
        </w:rPr>
        <w:t>с 12 мая 2023 г. по 18 мая 2023 г. - в размере 92,34% от начальной цены продажи лотов;</w:t>
      </w:r>
    </w:p>
    <w:p w14:paraId="4D4959F6" w14:textId="77777777" w:rsidR="000579A9" w:rsidRPr="00304C15" w:rsidRDefault="000579A9" w:rsidP="00484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304C15">
        <w:rPr>
          <w:color w:val="000000"/>
        </w:rPr>
        <w:t>с 19 мая 2023 г. по 25 мая 2023 г. - в размере 88,51% от начальной цены продажи лотов;</w:t>
      </w:r>
    </w:p>
    <w:p w14:paraId="120D2144" w14:textId="77777777" w:rsidR="000579A9" w:rsidRPr="00304C15" w:rsidRDefault="000579A9" w:rsidP="00484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304C15">
        <w:rPr>
          <w:color w:val="000000"/>
        </w:rPr>
        <w:t>с 26 мая 2023 г. по 01 июня 2023 г. - в размере 84,68% от начальной цены продажи лотов;</w:t>
      </w:r>
    </w:p>
    <w:p w14:paraId="1CC1DA96" w14:textId="77777777" w:rsidR="000579A9" w:rsidRPr="00304C15" w:rsidRDefault="000579A9" w:rsidP="00484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304C15">
        <w:rPr>
          <w:color w:val="000000"/>
        </w:rPr>
        <w:t>с 02 июня 2023 г. по 08 июня 2023 г. - в размере 80,85% от начальной цены продажи лотов;</w:t>
      </w:r>
    </w:p>
    <w:p w14:paraId="53EB7EC3" w14:textId="77777777" w:rsidR="000579A9" w:rsidRPr="00304C15" w:rsidRDefault="000579A9" w:rsidP="00484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304C15">
        <w:rPr>
          <w:color w:val="000000"/>
        </w:rPr>
        <w:t>с 09 июня 2023 г. по 15 июня 2023 г. - в размере 77,02% от начальной цены продажи лотов;</w:t>
      </w:r>
    </w:p>
    <w:p w14:paraId="0C6AE99E" w14:textId="77777777" w:rsidR="000579A9" w:rsidRPr="00304C15" w:rsidRDefault="000579A9" w:rsidP="00484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304C15">
        <w:rPr>
          <w:color w:val="000000"/>
        </w:rPr>
        <w:t>с 16 июня 2023 г. по 22 июня 2023 г. - в размере 73,19% от начальной цены продажи лотов;</w:t>
      </w:r>
    </w:p>
    <w:p w14:paraId="7C90FFA7" w14:textId="77777777" w:rsidR="000579A9" w:rsidRPr="00304C15" w:rsidRDefault="000579A9" w:rsidP="00484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304C15">
        <w:rPr>
          <w:color w:val="000000"/>
        </w:rPr>
        <w:t>с 23 июня 2023 г. по 29 июня 2023 г. - в размере 69,36% от начальной цены продажи лотов;</w:t>
      </w:r>
    </w:p>
    <w:p w14:paraId="61AC9EC7" w14:textId="77777777" w:rsidR="000579A9" w:rsidRPr="00304C15" w:rsidRDefault="000579A9" w:rsidP="00484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304C15">
        <w:rPr>
          <w:color w:val="000000"/>
        </w:rPr>
        <w:t>с 30 июня 2023 г. по 06 июля 2023 г. - в размере 65,53% от начальной цены продажи лотов;</w:t>
      </w:r>
    </w:p>
    <w:p w14:paraId="15A968FF" w14:textId="1853845A" w:rsidR="000579A9" w:rsidRPr="00304C15" w:rsidRDefault="000579A9" w:rsidP="00484F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304C15">
        <w:rPr>
          <w:color w:val="000000"/>
        </w:rPr>
        <w:t>с 07 июля 2023 г. по 13 июля 2023 г. - в размере 61,70% от начальной цены продажи лотов.</w:t>
      </w:r>
    </w:p>
    <w:p w14:paraId="1589FEE4" w14:textId="45901EA9" w:rsidR="00C47AB1" w:rsidRPr="00304C15" w:rsidRDefault="00C47AB1" w:rsidP="000579A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04C15">
        <w:rPr>
          <w:b/>
          <w:color w:val="000000"/>
        </w:rPr>
        <w:t>Для лот</w:t>
      </w:r>
      <w:r w:rsidR="002C60EF" w:rsidRPr="00304C15">
        <w:rPr>
          <w:b/>
          <w:color w:val="000000"/>
        </w:rPr>
        <w:t>ов</w:t>
      </w:r>
      <w:r w:rsidRPr="00304C15">
        <w:rPr>
          <w:b/>
          <w:color w:val="000000"/>
        </w:rPr>
        <w:t xml:space="preserve"> </w:t>
      </w:r>
      <w:r w:rsidR="002C60EF" w:rsidRPr="00304C15">
        <w:rPr>
          <w:b/>
          <w:color w:val="000000"/>
        </w:rPr>
        <w:t>8-11, 13-22</w:t>
      </w:r>
      <w:r w:rsidRPr="00304C15">
        <w:rPr>
          <w:b/>
          <w:color w:val="000000"/>
        </w:rPr>
        <w:t>:</w:t>
      </w:r>
    </w:p>
    <w:p w14:paraId="54FDA4EF" w14:textId="77777777" w:rsidR="000579A9" w:rsidRPr="00304C15" w:rsidRDefault="000579A9" w:rsidP="00484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с 24 марта 2023 г. по 04 мая 2023 г. - в размере начальной цены продажи лотов;</w:t>
      </w:r>
    </w:p>
    <w:p w14:paraId="21AD5153" w14:textId="77777777" w:rsidR="000579A9" w:rsidRPr="00304C15" w:rsidRDefault="000579A9" w:rsidP="00484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с 05 мая 2023 г. по 11 мая 2023 г. - в размере 90,01% от начальной цены продажи лотов;</w:t>
      </w:r>
    </w:p>
    <w:p w14:paraId="1115913B" w14:textId="77777777" w:rsidR="000579A9" w:rsidRPr="00304C15" w:rsidRDefault="000579A9" w:rsidP="00484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с 12 мая 2023 г. по 18 мая 2023 г. - в размере 80,02% от начальной цены продажи лотов;</w:t>
      </w:r>
    </w:p>
    <w:p w14:paraId="03714121" w14:textId="77777777" w:rsidR="000579A9" w:rsidRPr="00304C15" w:rsidRDefault="000579A9" w:rsidP="00484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с 19 мая 2023 г. по 25 мая 2023 г. - в размере 70,03% от начальной цены продажи лотов;</w:t>
      </w:r>
    </w:p>
    <w:p w14:paraId="2ADC4769" w14:textId="77777777" w:rsidR="000579A9" w:rsidRPr="00304C15" w:rsidRDefault="000579A9" w:rsidP="00484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с 26 мая 2023 г. по 01 июня 2023 г. - в размере 60,04% от начальной цены продажи лотов;</w:t>
      </w:r>
    </w:p>
    <w:p w14:paraId="5FAC585D" w14:textId="77777777" w:rsidR="000579A9" w:rsidRPr="00304C15" w:rsidRDefault="000579A9" w:rsidP="00484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с 02 июня 2023 г. по 08 июня 2023 г. - в размере 50,05% от начальной цены продажи лотов;</w:t>
      </w:r>
    </w:p>
    <w:p w14:paraId="71C6E417" w14:textId="77777777" w:rsidR="000579A9" w:rsidRPr="00304C15" w:rsidRDefault="000579A9" w:rsidP="00484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с 09 июня 2023 г. по 15 июня 2023 г. - в размере 40,06% от начальной цены продажи лотов;</w:t>
      </w:r>
    </w:p>
    <w:p w14:paraId="76292D4E" w14:textId="77777777" w:rsidR="000579A9" w:rsidRPr="00304C15" w:rsidRDefault="000579A9" w:rsidP="00484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с 16 июня 2023 г. по 22 июня 2023 г. - в размере 30,07% от начальной цены продажи лотов;</w:t>
      </w:r>
    </w:p>
    <w:p w14:paraId="24BBF95B" w14:textId="77777777" w:rsidR="000579A9" w:rsidRPr="00304C15" w:rsidRDefault="000579A9" w:rsidP="00484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с 23 июня 2023 г. по 29 июня 2023 г. - в размере 20,08% от начальной цены продажи лотов;</w:t>
      </w:r>
    </w:p>
    <w:p w14:paraId="5A59E0D0" w14:textId="77777777" w:rsidR="000579A9" w:rsidRPr="00304C15" w:rsidRDefault="000579A9" w:rsidP="00484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с 30 июня 2023 г. по 06 июля 2023 г. - в размере 10,09% от начальной цены продажи лотов;</w:t>
      </w:r>
    </w:p>
    <w:p w14:paraId="44F506B8" w14:textId="6C968556" w:rsidR="002C60EF" w:rsidRPr="00304C15" w:rsidRDefault="000579A9" w:rsidP="00484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с 07 июля 2023 г. по 13 июля 2023 г. - в размере 0,10% от начальной цены продажи лотов.</w:t>
      </w:r>
    </w:p>
    <w:p w14:paraId="2639B9A4" w14:textId="109A0EF9" w:rsidR="00927CB6" w:rsidRPr="00304C1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304C15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C15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304C15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11F8706" w14:textId="77777777" w:rsidR="00C5251F" w:rsidRPr="00304C15" w:rsidRDefault="00C5251F" w:rsidP="00C525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C15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</w:t>
      </w:r>
      <w:r w:rsidRPr="00304C15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018BB764" w14:textId="77777777" w:rsidR="00C5251F" w:rsidRPr="00304C15" w:rsidRDefault="00C5251F" w:rsidP="00C525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C15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6807325F" w14:textId="77777777" w:rsidR="00C5251F" w:rsidRPr="00304C15" w:rsidRDefault="00C5251F" w:rsidP="00C525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C15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2B0C53D0" w14:textId="77244572" w:rsidR="00C5251F" w:rsidRPr="00304C15" w:rsidRDefault="00C5251F" w:rsidP="00C525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C15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B3E31E7" w14:textId="5AE51B83" w:rsidR="00927CB6" w:rsidRPr="00304C15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304C15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FB25C7" w:rsidRPr="00304C1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2F5E" w:rsidRPr="00304C15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82F5E" w:rsidRPr="00304C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82F5E" w:rsidRPr="00304C15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304C1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304C1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304C1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304C1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C15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</w:t>
      </w:r>
      <w:r w:rsidRPr="00304C15">
        <w:rPr>
          <w:rFonts w:ascii="Times New Roman" w:hAnsi="Times New Roman" w:cs="Times New Roman"/>
          <w:sz w:val="24"/>
          <w:szCs w:val="24"/>
        </w:rPr>
        <w:lastRenderedPageBreak/>
        <w:t>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304C1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304C1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304C1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304C1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304C1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304C1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304C15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8D7D7FB" w14:textId="1A91E583" w:rsidR="00FA2178" w:rsidRPr="00304C15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863349" w:rsidRPr="00304C15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FA2178"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4E1BEE" w14:textId="5B855AE0" w:rsidR="00927CB6" w:rsidRPr="00304C15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304C15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F3C926A" w14:textId="74EE6FB7" w:rsidR="003869F0" w:rsidRPr="00304C15" w:rsidRDefault="00C5251F" w:rsidP="003869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08432253"/>
      <w:r w:rsidRPr="00304C15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09:00 до 18:00 по адресу: г. Санкт-Петербург, ул. Чапаева, д. 15, лит</w:t>
      </w:r>
      <w:r w:rsidR="002C60EF" w:rsidRPr="00304C15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А, тел. </w:t>
      </w:r>
      <w:r w:rsidR="002C60EF" w:rsidRPr="00304C15">
        <w:rPr>
          <w:rFonts w:ascii="Times New Roman" w:hAnsi="Times New Roman" w:cs="Times New Roman"/>
          <w:color w:val="000000"/>
          <w:sz w:val="24"/>
          <w:szCs w:val="24"/>
        </w:rPr>
        <w:t>8-800-505-80-32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2C60EF"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тел. 8(499)395-00-20 (с 9.00 до 18.00 по Московскому времени в рабочие дни) </w:t>
      </w:r>
      <w:hyperlink r:id="rId7" w:history="1">
        <w:r w:rsidR="002C60EF" w:rsidRPr="00304C15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2C60EF"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(лот 1), т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ел. +7 (812)334-20-50 (с 9.00 до 18.00 по МСК в рабочие дни), </w:t>
      </w:r>
      <w:hyperlink r:id="rId8" w:history="1">
        <w:r w:rsidR="002C60EF" w:rsidRPr="00304C15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2C60EF" w:rsidRPr="00304C15">
        <w:rPr>
          <w:rFonts w:ascii="Times New Roman" w:hAnsi="Times New Roman" w:cs="Times New Roman"/>
          <w:color w:val="000000"/>
          <w:sz w:val="24"/>
          <w:szCs w:val="24"/>
        </w:rPr>
        <w:t xml:space="preserve"> (лоты 2-22)</w:t>
      </w:r>
      <w:r w:rsidRPr="0030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0"/>
    <w:p w14:paraId="0A8F63DB" w14:textId="2E6A68DE" w:rsidR="00B41D69" w:rsidRPr="00304C15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C1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607957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4771115"/>
      <w:r w:rsidRPr="00304C15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60795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1"/>
    <w:p w14:paraId="23CF7F72" w14:textId="77777777" w:rsidR="00EE2718" w:rsidRPr="00B715C8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B715C8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55A93"/>
    <w:rsid w:val="000579A9"/>
    <w:rsid w:val="00082F5E"/>
    <w:rsid w:val="000B5FC6"/>
    <w:rsid w:val="000C70FE"/>
    <w:rsid w:val="000D2CD1"/>
    <w:rsid w:val="00111E44"/>
    <w:rsid w:val="0015099D"/>
    <w:rsid w:val="00164A19"/>
    <w:rsid w:val="001B75B3"/>
    <w:rsid w:val="001E7487"/>
    <w:rsid w:val="001F039D"/>
    <w:rsid w:val="002046F3"/>
    <w:rsid w:val="00227EB6"/>
    <w:rsid w:val="00240848"/>
    <w:rsid w:val="00273875"/>
    <w:rsid w:val="00284B1D"/>
    <w:rsid w:val="002A7DBA"/>
    <w:rsid w:val="002B1B81"/>
    <w:rsid w:val="002C60EF"/>
    <w:rsid w:val="002F5F5A"/>
    <w:rsid w:val="00304C15"/>
    <w:rsid w:val="0031121C"/>
    <w:rsid w:val="00344C14"/>
    <w:rsid w:val="003869F0"/>
    <w:rsid w:val="00394853"/>
    <w:rsid w:val="00432832"/>
    <w:rsid w:val="004544BF"/>
    <w:rsid w:val="00467D6B"/>
    <w:rsid w:val="00484FFB"/>
    <w:rsid w:val="004E7C64"/>
    <w:rsid w:val="00525513"/>
    <w:rsid w:val="0054753F"/>
    <w:rsid w:val="0059668F"/>
    <w:rsid w:val="005B30D0"/>
    <w:rsid w:val="005B346C"/>
    <w:rsid w:val="005C1F1A"/>
    <w:rsid w:val="005F1F68"/>
    <w:rsid w:val="00607957"/>
    <w:rsid w:val="00642CBF"/>
    <w:rsid w:val="00662676"/>
    <w:rsid w:val="006716C3"/>
    <w:rsid w:val="0067512D"/>
    <w:rsid w:val="006845A2"/>
    <w:rsid w:val="00714773"/>
    <w:rsid w:val="007229EA"/>
    <w:rsid w:val="00725750"/>
    <w:rsid w:val="00735EAD"/>
    <w:rsid w:val="007811AF"/>
    <w:rsid w:val="007B575E"/>
    <w:rsid w:val="007E0FAC"/>
    <w:rsid w:val="007E3E1A"/>
    <w:rsid w:val="007F15A1"/>
    <w:rsid w:val="00814A72"/>
    <w:rsid w:val="00825B29"/>
    <w:rsid w:val="00834CD6"/>
    <w:rsid w:val="00851CD7"/>
    <w:rsid w:val="00863349"/>
    <w:rsid w:val="00865FD7"/>
    <w:rsid w:val="00882E21"/>
    <w:rsid w:val="0090094D"/>
    <w:rsid w:val="00927CB6"/>
    <w:rsid w:val="009553DE"/>
    <w:rsid w:val="009D5CE6"/>
    <w:rsid w:val="00AB030D"/>
    <w:rsid w:val="00AF3005"/>
    <w:rsid w:val="00AF6509"/>
    <w:rsid w:val="00B41D69"/>
    <w:rsid w:val="00B715C8"/>
    <w:rsid w:val="00B953CE"/>
    <w:rsid w:val="00BF70A6"/>
    <w:rsid w:val="00C035F0"/>
    <w:rsid w:val="00C11EFF"/>
    <w:rsid w:val="00C46EBB"/>
    <w:rsid w:val="00C47AB1"/>
    <w:rsid w:val="00C5251F"/>
    <w:rsid w:val="00C64DBE"/>
    <w:rsid w:val="00C73FF9"/>
    <w:rsid w:val="00CF06A5"/>
    <w:rsid w:val="00CF4E80"/>
    <w:rsid w:val="00D1566F"/>
    <w:rsid w:val="00D206FF"/>
    <w:rsid w:val="00D22BE6"/>
    <w:rsid w:val="00D46CFF"/>
    <w:rsid w:val="00D62667"/>
    <w:rsid w:val="00D977EA"/>
    <w:rsid w:val="00DA477E"/>
    <w:rsid w:val="00E16E00"/>
    <w:rsid w:val="00E614D3"/>
    <w:rsid w:val="00E82DD0"/>
    <w:rsid w:val="00EE2718"/>
    <w:rsid w:val="00F104BD"/>
    <w:rsid w:val="00F4657B"/>
    <w:rsid w:val="00FA2178"/>
    <w:rsid w:val="00FB25C7"/>
    <w:rsid w:val="00FD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69C65FF4-2DA4-45E8-8B8A-06662BBE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spb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3118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75</cp:revision>
  <cp:lastPrinted>2022-12-05T10:00:00Z</cp:lastPrinted>
  <dcterms:created xsi:type="dcterms:W3CDTF">2019-07-23T07:42:00Z</dcterms:created>
  <dcterms:modified xsi:type="dcterms:W3CDTF">2022-12-05T10:04:00Z</dcterms:modified>
</cp:coreProperties>
</file>