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18" w:rsidRPr="002B48E7" w:rsidRDefault="00823018" w:rsidP="00823018">
      <w:pPr>
        <w:spacing w:before="0" w:after="240" w:line="276" w:lineRule="auto"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Договор купли-продажи акций № _________</w:t>
      </w:r>
    </w:p>
    <w:tbl>
      <w:tblPr>
        <w:tblStyle w:val="1"/>
        <w:tblW w:w="101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823018" w:rsidRPr="002B48E7" w:rsidTr="00145A3D">
        <w:trPr>
          <w:trHeight w:val="331"/>
        </w:trPr>
        <w:tc>
          <w:tcPr>
            <w:tcW w:w="5058" w:type="dxa"/>
          </w:tcPr>
          <w:p w:rsidR="00823018" w:rsidRPr="002B48E7" w:rsidRDefault="00823018" w:rsidP="00145A3D">
            <w:r w:rsidRPr="002B48E7">
              <w:t>г. Якутск</w:t>
            </w:r>
          </w:p>
        </w:tc>
        <w:tc>
          <w:tcPr>
            <w:tcW w:w="5059" w:type="dxa"/>
          </w:tcPr>
          <w:p w:rsidR="00823018" w:rsidRPr="002B48E7" w:rsidRDefault="00823018" w:rsidP="00823018">
            <w:pPr>
              <w:jc w:val="center"/>
            </w:pPr>
            <w:bookmarkStart w:id="0" w:name="_GoBack"/>
            <w:bookmarkEnd w:id="0"/>
            <w:r w:rsidRPr="002B48E7">
              <w:t xml:space="preserve"> «____» __________ 2023 г.</w:t>
            </w:r>
          </w:p>
        </w:tc>
      </w:tr>
    </w:tbl>
    <w:p w:rsidR="00823018" w:rsidRPr="002B48E7" w:rsidRDefault="00823018" w:rsidP="00823018">
      <w:pPr>
        <w:spacing w:before="0"/>
        <w:jc w:val="center"/>
        <w:rPr>
          <w:rFonts w:eastAsiaTheme="minorHAnsi"/>
          <w:b/>
          <w:snapToGrid/>
          <w:lang w:eastAsia="en-US"/>
        </w:rPr>
      </w:pPr>
    </w:p>
    <w:p w:rsidR="00823018" w:rsidRPr="002B48E7" w:rsidRDefault="00823018" w:rsidP="00823018">
      <w:pPr>
        <w:spacing w:before="0"/>
        <w:ind w:firstLine="851"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b/>
          <w:bCs/>
          <w:snapToGrid/>
          <w:lang w:eastAsia="en-US" w:bidi="ru-RU"/>
        </w:rPr>
        <w:t>Акционерное общество «</w:t>
      </w:r>
      <w:proofErr w:type="spellStart"/>
      <w:r w:rsidRPr="002B48E7">
        <w:rPr>
          <w:rFonts w:eastAsiaTheme="minorHAnsi"/>
          <w:b/>
          <w:bCs/>
          <w:snapToGrid/>
          <w:lang w:eastAsia="en-US" w:bidi="ru-RU"/>
        </w:rPr>
        <w:t>Энерготрансснаб</w:t>
      </w:r>
      <w:proofErr w:type="spellEnd"/>
      <w:r w:rsidRPr="002B48E7">
        <w:rPr>
          <w:rFonts w:eastAsiaTheme="minorHAnsi"/>
          <w:b/>
          <w:bCs/>
          <w:snapToGrid/>
          <w:lang w:eastAsia="en-US" w:bidi="ru-RU"/>
        </w:rPr>
        <w:t xml:space="preserve">», </w:t>
      </w:r>
      <w:r w:rsidRPr="002B48E7">
        <w:rPr>
          <w:rFonts w:eastAsiaTheme="minorHAnsi"/>
          <w:snapToGrid/>
          <w:lang w:eastAsia="en-US" w:bidi="ru-RU"/>
        </w:rPr>
        <w:t>именуемое далее</w:t>
      </w:r>
      <w:r w:rsidRPr="002B48E7">
        <w:rPr>
          <w:rFonts w:eastAsiaTheme="minorHAnsi"/>
          <w:b/>
          <w:snapToGrid/>
          <w:lang w:eastAsia="en-US" w:bidi="ru-RU"/>
        </w:rPr>
        <w:t xml:space="preserve"> </w:t>
      </w:r>
      <w:r w:rsidRPr="002B48E7">
        <w:rPr>
          <w:rFonts w:eastAsiaTheme="minorHAnsi"/>
          <w:b/>
          <w:bCs/>
          <w:snapToGrid/>
          <w:lang w:eastAsia="en-US" w:bidi="ru-RU"/>
        </w:rPr>
        <w:t xml:space="preserve">«Продавец», </w:t>
      </w:r>
      <w:r w:rsidRPr="002B48E7">
        <w:rPr>
          <w:rFonts w:eastAsiaTheme="minorHAnsi"/>
          <w:snapToGrid/>
          <w:lang w:eastAsia="en-US" w:bidi="ru-RU"/>
        </w:rPr>
        <w:t xml:space="preserve">в лице Генерального директора Акимова Игоря Васильевича, действующего на основании доверенности </w:t>
      </w:r>
      <w:r w:rsidRPr="002B48E7">
        <w:rPr>
          <w:color w:val="000000"/>
        </w:rPr>
        <w:t>действующего на основании Устава</w:t>
      </w:r>
      <w:r w:rsidRPr="002B48E7">
        <w:rPr>
          <w:rFonts w:eastAsiaTheme="minorHAnsi"/>
          <w:snapToGrid/>
          <w:lang w:eastAsia="en-US" w:bidi="ru-RU"/>
        </w:rPr>
        <w:t xml:space="preserve">, с одной стороны, и ________________________________________, именуемый далее </w:t>
      </w:r>
      <w:r w:rsidRPr="002B48E7">
        <w:rPr>
          <w:rFonts w:eastAsiaTheme="minorHAnsi"/>
          <w:b/>
          <w:snapToGrid/>
          <w:lang w:eastAsia="en-US" w:bidi="ru-RU"/>
        </w:rPr>
        <w:t>«Покупатель»</w:t>
      </w:r>
      <w:r w:rsidRPr="002B48E7">
        <w:rPr>
          <w:rFonts w:eastAsiaTheme="minorHAnsi"/>
          <w:snapToGrid/>
          <w:lang w:eastAsia="en-US" w:bidi="ru-RU"/>
        </w:rPr>
        <w:t>, в лице _________________________, действующего на основании ________________________, с другой стороны,</w:t>
      </w:r>
    </w:p>
    <w:p w:rsidR="00823018" w:rsidRPr="002B48E7" w:rsidRDefault="00823018" w:rsidP="00823018">
      <w:pPr>
        <w:spacing w:before="0"/>
        <w:ind w:firstLine="709"/>
      </w:pPr>
      <w:r w:rsidRPr="002B48E7">
        <w:rPr>
          <w:rFonts w:eastAsiaTheme="minorHAnsi"/>
          <w:snapToGrid/>
          <w:lang w:eastAsia="en-US" w:bidi="ru-RU"/>
        </w:rPr>
        <w:t xml:space="preserve">совместно именуемые в дальнейшем «Стороны», а по отдельности - «Сторона», </w:t>
      </w:r>
      <w:r w:rsidRPr="002B48E7">
        <w:t>руководствуясь также Протоколом об итогах аукциона от «_____» ______________ 202__ г., заключили настоящий договор (далее – «Договор») о нижеследующем:</w:t>
      </w:r>
    </w:p>
    <w:p w:rsidR="00823018" w:rsidRPr="002B48E7" w:rsidRDefault="00823018" w:rsidP="00823018">
      <w:pPr>
        <w:numPr>
          <w:ilvl w:val="0"/>
          <w:numId w:val="1"/>
        </w:numPr>
        <w:spacing w:before="0"/>
        <w:contextualSpacing/>
        <w:jc w:val="center"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Предмет Договора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Продавец продает, а Покупатель приобретает обыкновенные акции Акционерного общества «Акционерная компания «Железные дороги Якутии» (ОГРН 1021401044500, ИНН 1435073060)</w:t>
      </w:r>
      <w:r w:rsidRPr="002B48E7">
        <w:t xml:space="preserve"> </w:t>
      </w:r>
      <w:r w:rsidRPr="002B48E7">
        <w:rPr>
          <w:rFonts w:eastAsiaTheme="minorHAnsi"/>
          <w:snapToGrid/>
          <w:lang w:eastAsia="en-US" w:bidi="ru-RU"/>
        </w:rPr>
        <w:t>в количестве 487 500 (Четыреста восемьдесят семь тысяч пятьсот) штук (далее – Пакет акций).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Сведения о продаваемых акциях:</w:t>
      </w:r>
    </w:p>
    <w:p w:rsidR="00823018" w:rsidRPr="002B48E7" w:rsidRDefault="00823018" w:rsidP="00823018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наименование эмитента: Акционерного общества «Акционерная компания «Железные дороги Якутии» (АО «АК «ЖДЯ»). </w:t>
      </w:r>
    </w:p>
    <w:p w:rsidR="00823018" w:rsidRPr="002B48E7" w:rsidRDefault="00823018" w:rsidP="00823018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 xml:space="preserve">- количество акций: </w:t>
      </w:r>
      <w:r w:rsidRPr="002B48E7">
        <w:t>487 500</w:t>
      </w:r>
      <w:r w:rsidRPr="002B48E7">
        <w:rPr>
          <w:rFonts w:eastAsiaTheme="minorHAnsi"/>
          <w:snapToGrid/>
          <w:lang w:eastAsia="en-US" w:bidi="ru-RU"/>
        </w:rPr>
        <w:t xml:space="preserve"> (четыреста восемьдесят семь пятьсот) штук.</w:t>
      </w:r>
    </w:p>
    <w:p w:rsidR="00823018" w:rsidRPr="002B48E7" w:rsidRDefault="00823018" w:rsidP="00823018">
      <w:pPr>
        <w:tabs>
          <w:tab w:val="left" w:pos="993"/>
        </w:tabs>
        <w:spacing w:before="0"/>
      </w:pPr>
      <w:r w:rsidRPr="002B48E7">
        <w:rPr>
          <w:rFonts w:eastAsiaTheme="minorHAnsi"/>
          <w:snapToGrid/>
          <w:lang w:eastAsia="en-US" w:bidi="ru-RU"/>
        </w:rPr>
        <w:t xml:space="preserve">             - номер и дата государственной регистрации выпуска: </w:t>
      </w:r>
      <w:r w:rsidRPr="002B48E7">
        <w:t>1-02-20452-F от 31.07.2006.</w:t>
      </w:r>
    </w:p>
    <w:p w:rsidR="00823018" w:rsidRPr="002B48E7" w:rsidRDefault="00823018" w:rsidP="00823018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вид (категория, форма) акций: обыкновенные именные бездокументарные.</w:t>
      </w:r>
    </w:p>
    <w:p w:rsidR="00823018" w:rsidRPr="002B48E7" w:rsidRDefault="00823018" w:rsidP="00823018">
      <w:pPr>
        <w:spacing w:before="0"/>
        <w:ind w:left="851"/>
        <w:contextualSpacing/>
        <w:rPr>
          <w:rFonts w:eastAsiaTheme="minorHAnsi"/>
          <w:snapToGrid/>
          <w:lang w:eastAsia="en-US" w:bidi="ru-RU"/>
        </w:rPr>
      </w:pPr>
      <w:r w:rsidRPr="002B48E7">
        <w:rPr>
          <w:rFonts w:eastAsiaTheme="minorHAnsi"/>
          <w:snapToGrid/>
          <w:lang w:eastAsia="en-US" w:bidi="ru-RU"/>
        </w:rPr>
        <w:t>- номинальная стоимость 1 акции: 60 (шестьдесят) рублей.</w:t>
      </w:r>
    </w:p>
    <w:p w:rsidR="00823018" w:rsidRPr="002B48E7" w:rsidRDefault="00823018" w:rsidP="00823018">
      <w:pPr>
        <w:numPr>
          <w:ilvl w:val="0"/>
          <w:numId w:val="1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Цена и порядок расчетов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Установленная цена Пакета акций составляет: </w:t>
      </w:r>
      <w:r w:rsidRPr="002B48E7">
        <w:rPr>
          <w:rFonts w:eastAsiaTheme="minorHAnsi"/>
          <w:i/>
          <w:snapToGrid/>
          <w:lang w:eastAsia="en-US"/>
        </w:rPr>
        <w:t xml:space="preserve">________________________ </w:t>
      </w:r>
      <w:r w:rsidRPr="002B48E7">
        <w:rPr>
          <w:rFonts w:eastAsiaTheme="minorHAnsi"/>
          <w:snapToGrid/>
          <w:lang w:eastAsia="en-US"/>
        </w:rPr>
        <w:t>рублей</w:t>
      </w:r>
      <w:r w:rsidRPr="002B48E7">
        <w:rPr>
          <w:rFonts w:eastAsiaTheme="minorHAnsi"/>
          <w:i/>
          <w:snapToGrid/>
          <w:lang w:eastAsia="en-US"/>
        </w:rPr>
        <w:t xml:space="preserve"> (цена определяется по результатам аукциона).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оплатить Пакет акций в течение 5 (Пяти) рабочих дней после подписания Договора.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оплачивает Пакет акций путем безналичного перечисления денежных средств на расчетный счет Продавца, указанный в пункте 7 Договора.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производит полную оплату Пакета акций единовременно одним платежом в срок, предусмотренный п. 2.2. Договора.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3 (трех) рабочих дней после оплаты Пакета акций, Покупатель обязан направить в адрес Продавца документы, подтверждающие факт оплаты.</w:t>
      </w:r>
    </w:p>
    <w:p w:rsidR="00823018" w:rsidRPr="002B48E7" w:rsidRDefault="00823018" w:rsidP="00823018">
      <w:pPr>
        <w:numPr>
          <w:ilvl w:val="0"/>
          <w:numId w:val="1"/>
        </w:numPr>
        <w:spacing w:before="0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Срок и порядок передачи Пакета акций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случае если Покупатель не имеет лицевого счета, открытого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РСР «ЯФЦ» (далее – Лицевой счет)</w:t>
      </w:r>
      <w:r w:rsidRPr="002B48E7">
        <w:rPr>
          <w:rFonts w:eastAsiaTheme="minorHAnsi"/>
          <w:snapToGrid/>
          <w:lang w:eastAsia="en-US"/>
        </w:rPr>
        <w:t xml:space="preserve">, осуществляющего ведение реестра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«АК «ЖДЯ»</w:t>
      </w:r>
      <w:r w:rsidRPr="002B48E7">
        <w:rPr>
          <w:rFonts w:eastAsiaTheme="minorHAnsi"/>
          <w:snapToGrid/>
          <w:lang w:eastAsia="en-US"/>
        </w:rPr>
        <w:t xml:space="preserve">, Покупатель обязан в течение 5 (Пяти) рабочих дней после подписания Договора лично или через своего надлежащим образом уполномоченного представителя сдать в </w:t>
      </w:r>
      <w:r w:rsidRPr="002B48E7">
        <w:rPr>
          <w:rFonts w:eastAsiaTheme="minorHAnsi"/>
          <w:snapToGrid/>
          <w:lang w:eastAsia="en-US" w:bidi="ru-RU"/>
        </w:rPr>
        <w:t>АО РСР «ЯФЦ»</w:t>
      </w:r>
      <w:r w:rsidRPr="002B48E7">
        <w:rPr>
          <w:rFonts w:eastAsiaTheme="minorHAnsi"/>
          <w:snapToGrid/>
          <w:lang w:eastAsia="en-US"/>
        </w:rPr>
        <w:t xml:space="preserve"> заявление и иные документы, необходимые для открытия Лицевого счета </w:t>
      </w:r>
      <w:r w:rsidRPr="002B48E7">
        <w:rPr>
          <w:rFonts w:eastAsiaTheme="minorHAnsi"/>
          <w:snapToGrid/>
          <w:lang w:eastAsia="en-US" w:bidi="ru-RU"/>
        </w:rPr>
        <w:t>в реестре владельцев ценных бумаг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АО РСР «ЯФЦ»</w:t>
      </w:r>
      <w:r w:rsidRPr="002B48E7">
        <w:rPr>
          <w:rFonts w:eastAsiaTheme="minorHAnsi"/>
          <w:snapToGrid/>
          <w:lang w:eastAsia="en-US"/>
        </w:rPr>
        <w:t>.</w:t>
      </w:r>
    </w:p>
    <w:p w:rsidR="00823018" w:rsidRPr="002B48E7" w:rsidRDefault="00823018" w:rsidP="00823018">
      <w:pPr>
        <w:spacing w:before="0"/>
        <w:ind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lastRenderedPageBreak/>
        <w:t xml:space="preserve">Расходы, связанные с открытием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РСР «ЯФЦ»</w:t>
      </w:r>
      <w:r w:rsidRPr="002B48E7">
        <w:rPr>
          <w:rFonts w:eastAsiaTheme="minorHAnsi"/>
          <w:snapToGrid/>
          <w:lang w:eastAsia="en-US"/>
        </w:rPr>
        <w:t xml:space="preserve"> осуществляются Покупателем за собственный счет.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/>
        </w:rPr>
        <w:t xml:space="preserve">В срок не позднее 5 (Пяти) рабочих дней с момента открытия Лицевого счета в реестре владельцев ценных бумаг </w:t>
      </w:r>
      <w:r w:rsidRPr="002B48E7">
        <w:rPr>
          <w:rFonts w:eastAsiaTheme="minorHAnsi"/>
          <w:snapToGrid/>
          <w:lang w:eastAsia="en-US" w:bidi="ru-RU"/>
        </w:rPr>
        <w:t>АО РСР «ЯФЦ»</w:t>
      </w:r>
      <w:r w:rsidRPr="002B48E7">
        <w:rPr>
          <w:rFonts w:eastAsiaTheme="minorHAnsi"/>
          <w:snapToGrid/>
          <w:lang w:eastAsia="en-US"/>
        </w:rPr>
        <w:t xml:space="preserve"> Покупатель обязан уведомить Продавца об открытии Лицевого счета.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В течение 5 (Пяти) рабочих дней с момент предоставления Покупателем Продавцу документов, подтверждающих оплату Пакета акций, и уведомления об открытии Лицевого счета в реестре владельцев ценных бумаг АО РСР «ЯФЦ»</w:t>
      </w:r>
      <w:r w:rsidRPr="002B48E7">
        <w:rPr>
          <w:rFonts w:eastAsiaTheme="minorHAnsi"/>
          <w:snapToGrid/>
          <w:lang w:eastAsia="en-US"/>
        </w:rPr>
        <w:t>.</w:t>
      </w:r>
      <w:r w:rsidRPr="002B48E7">
        <w:rPr>
          <w:rFonts w:eastAsiaTheme="minorHAnsi"/>
          <w:snapToGrid/>
          <w:lang w:eastAsia="en-US" w:bidi="ru-RU"/>
        </w:rPr>
        <w:t xml:space="preserve"> Продавец обязан направить АО РСР «ЯФЦ»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передаточное распоряжение в отношении Пакета акций, являющееся основанием для внесения приходной записи на Лицевой счет Покупателя в реестре владельцев ценных бумаг АО РСР «ЯФЦ»</w:t>
      </w:r>
      <w:r w:rsidRPr="002B48E7">
        <w:rPr>
          <w:rFonts w:eastAsiaTheme="minorHAnsi"/>
          <w:snapToGrid/>
          <w:lang w:eastAsia="en-US"/>
        </w:rPr>
        <w:t>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Покупатель обязуется возместить Продавцу расходы, связанные с оплатой услуг АО РСР «ЯФЦ»</w:t>
      </w:r>
      <w:r w:rsidRPr="002B48E7">
        <w:rPr>
          <w:rFonts w:eastAsiaTheme="minorHAnsi"/>
          <w:snapToGrid/>
          <w:lang w:eastAsia="en-US"/>
        </w:rPr>
        <w:t xml:space="preserve"> </w:t>
      </w:r>
      <w:r w:rsidRPr="002B48E7">
        <w:rPr>
          <w:rFonts w:eastAsiaTheme="minorHAnsi"/>
          <w:snapToGrid/>
          <w:lang w:eastAsia="en-US" w:bidi="ru-RU"/>
        </w:rPr>
        <w:t>по перечислению Пакета акций на Лицевой счет Покупателя в течение 10 рабочих дней с момента предоставления Продавцом Покупателю документов, подтверждающих понесенные расходы.</w:t>
      </w:r>
    </w:p>
    <w:p w:rsidR="00823018" w:rsidRPr="002B48E7" w:rsidRDefault="00823018" w:rsidP="00823018">
      <w:pPr>
        <w:numPr>
          <w:ilvl w:val="1"/>
          <w:numId w:val="1"/>
        </w:numPr>
        <w:spacing w:before="0"/>
        <w:ind w:left="0" w:firstLine="851"/>
        <w:contextualSpacing/>
        <w:rPr>
          <w:rFonts w:eastAsiaTheme="minorHAnsi"/>
          <w:snapToGrid/>
          <w:lang w:eastAsia="en-US"/>
        </w:rPr>
      </w:pPr>
      <w:r w:rsidRPr="002B48E7">
        <w:rPr>
          <w:rFonts w:eastAsiaTheme="minorHAnsi"/>
          <w:snapToGrid/>
          <w:lang w:eastAsia="en-US" w:bidi="ru-RU"/>
        </w:rPr>
        <w:t>Пакет акций считается переданными Покупателю с момента внесения приходной записи на Лицевой счет Покупателя.</w:t>
      </w:r>
    </w:p>
    <w:p w:rsidR="00823018" w:rsidRPr="002B48E7" w:rsidRDefault="00823018" w:rsidP="00823018">
      <w:pPr>
        <w:numPr>
          <w:ilvl w:val="0"/>
          <w:numId w:val="1"/>
        </w:numPr>
        <w:spacing w:before="0" w:after="120" w:line="276" w:lineRule="auto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 w:bidi="ru-RU"/>
        </w:rPr>
        <w:t>Ответственность сторон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 В случае неисполнения или ненадлежащего исполнения Сторонами принятых на себя в соответствии с настоящим Договором обязательств, Стороны несут ответственность, предусмотренную законодательством Российской Федерации.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 случае нарушения Покупателем сроков оплаты Пакета акций, установленных в подпункте 2.2 настоящего Договора, Покупатель обязуется уплатить Продавцу штраф в размере 20% от цены, указанной в подпункте 2.1 настоящего Договора, а также пеню в размере 0,5% от цены Пакета акций за каждый день просрочки.</w:t>
      </w:r>
    </w:p>
    <w:p w:rsidR="00823018" w:rsidRPr="002B48E7" w:rsidRDefault="00823018" w:rsidP="00823018">
      <w:pPr>
        <w:numPr>
          <w:ilvl w:val="0"/>
          <w:numId w:val="1"/>
        </w:numPr>
        <w:spacing w:before="0"/>
        <w:ind w:left="0" w:firstLine="709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Прочие условия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 одинакового содержания, имеющих равную юридическую силу, по одному экземпляру для каждой из Сторон.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Саха (Якутия).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Покупатель заверяет и гарантирует Продавцу, что на дату заключения настоящего Договора:</w:t>
      </w:r>
    </w:p>
    <w:p w:rsidR="00823018" w:rsidRPr="002B48E7" w:rsidRDefault="00823018" w:rsidP="00823018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является действующим юридическим лицом и обладает правоспособностью на заключение настоящего Договора.</w:t>
      </w:r>
    </w:p>
    <w:p w:rsidR="00823018" w:rsidRPr="002B48E7" w:rsidRDefault="00823018" w:rsidP="00823018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лицо, подписывающее настоящий Договор, обладает всеми необходимыми полномочиями на его подписание.</w:t>
      </w:r>
    </w:p>
    <w:p w:rsidR="00823018" w:rsidRPr="002B48E7" w:rsidRDefault="00823018" w:rsidP="00823018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- Покупатель полностью осведомлен о состоянии финансово-хозяйственной деятельности АО «АК «ЖДЯ».</w:t>
      </w:r>
    </w:p>
    <w:p w:rsidR="00823018" w:rsidRPr="002B48E7" w:rsidRDefault="00823018" w:rsidP="00823018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- Покупатель в дальнейшем не вправе предъявлять Продавцу требования о возмещении убытков/имущественных потерь, а также ссылаться на какие-либо обстоятельства, являющиеся основанием для предъявления таких требований, которые должны были быть ему известны, с учетом должной осмотрительности и </w:t>
      </w:r>
      <w:r w:rsidRPr="002B48E7">
        <w:rPr>
          <w:rFonts w:ascii="Times New Roman" w:hAnsi="Times New Roman" w:cs="Times New Roman"/>
          <w:sz w:val="26"/>
          <w:szCs w:val="26"/>
        </w:rPr>
        <w:lastRenderedPageBreak/>
        <w:t>добросовестности Приобретателя, которая от него требовалась по характеру настоящего Договора.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>Стороны гарантируют, что на дату заключения настоящего Договора каждой из Сторон получены все необходимые согласия (включая согласия антимонопольных органов) корпоративные одобрения, требующиеся для заключения и исполнения настоящего Договора в соответствии с законодательством Российской Федерации и учредительными документами Сторон.</w:t>
      </w:r>
    </w:p>
    <w:p w:rsidR="00823018" w:rsidRPr="002B48E7" w:rsidRDefault="00823018" w:rsidP="00823018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E7">
        <w:rPr>
          <w:rFonts w:ascii="Times New Roman" w:hAnsi="Times New Roman" w:cs="Times New Roman"/>
          <w:sz w:val="26"/>
          <w:szCs w:val="26"/>
        </w:rPr>
        <w:t xml:space="preserve">Гарантии, перечисленные в подпунктах 5.3 и 5.4 настоящего Договора, являются в соответствии со статьей 431.2 ГК РФ заверениями об обстоятельствах. </w:t>
      </w:r>
    </w:p>
    <w:p w:rsidR="00823018" w:rsidRPr="002B48E7" w:rsidRDefault="00823018" w:rsidP="00823018">
      <w:pPr>
        <w:numPr>
          <w:ilvl w:val="0"/>
          <w:numId w:val="1"/>
        </w:numPr>
        <w:spacing w:before="0" w:after="120" w:line="276" w:lineRule="auto"/>
        <w:contextualSpacing/>
        <w:jc w:val="center"/>
        <w:rPr>
          <w:rFonts w:eastAsiaTheme="minorHAnsi"/>
          <w:b/>
          <w:snapToGrid/>
          <w:lang w:eastAsia="en-US"/>
        </w:rPr>
      </w:pPr>
      <w:r w:rsidRPr="002B48E7">
        <w:rPr>
          <w:rFonts w:eastAsiaTheme="minorHAnsi"/>
          <w:b/>
          <w:snapToGrid/>
          <w:lang w:eastAsia="en-US"/>
        </w:rPr>
        <w:t>Адреса и реквизиты Сторон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324"/>
      </w:tblGrid>
      <w:tr w:rsidR="00823018" w:rsidRPr="002B48E7" w:rsidTr="00145A3D">
        <w:tc>
          <w:tcPr>
            <w:tcW w:w="5283" w:type="dxa"/>
            <w:shd w:val="clear" w:color="auto" w:fill="FFFFFF" w:themeFill="background1"/>
          </w:tcPr>
          <w:p w:rsidR="00823018" w:rsidRPr="002B48E7" w:rsidRDefault="00823018" w:rsidP="00145A3D">
            <w:pPr>
              <w:spacing w:after="120"/>
              <w:contextualSpacing/>
              <w:jc w:val="center"/>
              <w:rPr>
                <w:b/>
              </w:rPr>
            </w:pPr>
            <w:r w:rsidRPr="002B48E7">
              <w:rPr>
                <w:b/>
              </w:rPr>
              <w:t>Продавец</w:t>
            </w:r>
          </w:p>
          <w:p w:rsidR="00823018" w:rsidRPr="002B48E7" w:rsidRDefault="00823018" w:rsidP="00145A3D">
            <w:pPr>
              <w:spacing w:after="120"/>
              <w:contextualSpacing/>
              <w:jc w:val="center"/>
              <w:rPr>
                <w:b/>
              </w:rPr>
            </w:pPr>
            <w:r w:rsidRPr="002B48E7">
              <w:rPr>
                <w:b/>
              </w:rPr>
              <w:t>АО «</w:t>
            </w:r>
            <w:proofErr w:type="spellStart"/>
            <w:r w:rsidRPr="002B48E7">
              <w:rPr>
                <w:b/>
              </w:rPr>
              <w:t>Энерготрансснаб</w:t>
            </w:r>
            <w:proofErr w:type="spellEnd"/>
            <w:r w:rsidRPr="002B48E7">
              <w:rPr>
                <w:b/>
              </w:rPr>
              <w:t>»</w:t>
            </w:r>
          </w:p>
        </w:tc>
        <w:tc>
          <w:tcPr>
            <w:tcW w:w="4889" w:type="dxa"/>
            <w:shd w:val="clear" w:color="auto" w:fill="FFFFFF" w:themeFill="background1"/>
          </w:tcPr>
          <w:p w:rsidR="00823018" w:rsidRPr="002B48E7" w:rsidRDefault="00823018" w:rsidP="00145A3D">
            <w:pPr>
              <w:spacing w:after="120"/>
              <w:contextualSpacing/>
              <w:jc w:val="center"/>
              <w:rPr>
                <w:b/>
              </w:rPr>
            </w:pPr>
            <w:r w:rsidRPr="002B48E7">
              <w:rPr>
                <w:b/>
              </w:rPr>
              <w:t>Покупатель</w:t>
            </w:r>
          </w:p>
          <w:p w:rsidR="00823018" w:rsidRPr="002B48E7" w:rsidRDefault="00823018" w:rsidP="00145A3D">
            <w:pPr>
              <w:spacing w:after="120"/>
              <w:contextualSpacing/>
              <w:jc w:val="center"/>
              <w:rPr>
                <w:b/>
              </w:rPr>
            </w:pPr>
          </w:p>
          <w:p w:rsidR="00823018" w:rsidRPr="002B48E7" w:rsidRDefault="00823018" w:rsidP="00145A3D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823018" w:rsidRPr="002B48E7" w:rsidTr="00145A3D">
        <w:tc>
          <w:tcPr>
            <w:tcW w:w="5283" w:type="dxa"/>
            <w:shd w:val="clear" w:color="auto" w:fill="FFFFFF" w:themeFill="background1"/>
          </w:tcPr>
          <w:p w:rsidR="00823018" w:rsidRPr="002B48E7" w:rsidRDefault="00823018" w:rsidP="00145A3D">
            <w:pPr>
              <w:rPr>
                <w:rFonts w:eastAsia="Calibri"/>
                <w:b/>
                <w:spacing w:val="-3"/>
              </w:rPr>
            </w:pPr>
            <w:r w:rsidRPr="002B48E7">
              <w:rPr>
                <w:rFonts w:eastAsia="Calibri"/>
                <w:b/>
                <w:spacing w:val="-3"/>
              </w:rPr>
              <w:t>АО «</w:t>
            </w:r>
            <w:proofErr w:type="spellStart"/>
            <w:r w:rsidRPr="002B48E7">
              <w:rPr>
                <w:rFonts w:eastAsia="Calibri"/>
                <w:b/>
                <w:spacing w:val="-3"/>
              </w:rPr>
              <w:t>Энерготрансснаб</w:t>
            </w:r>
            <w:proofErr w:type="spellEnd"/>
            <w:r w:rsidRPr="002B48E7">
              <w:rPr>
                <w:rFonts w:eastAsia="Calibri"/>
                <w:b/>
                <w:spacing w:val="-3"/>
              </w:rPr>
              <w:t>»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677021, г. Якутск,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ул. Автодорожная, 36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ИНН 1435176330, КПП 143501001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 xml:space="preserve">ОГРН 1061435051480 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 xml:space="preserve">ОКПО 93795972 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р/с 40702810500000100223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Банк ГПБ (АО), г. Москва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ИНН 7744001497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КПП 997950001</w:t>
            </w:r>
          </w:p>
          <w:p w:rsidR="00823018" w:rsidRPr="002B48E7" w:rsidRDefault="00823018" w:rsidP="00145A3D">
            <w:pPr>
              <w:rPr>
                <w:rFonts w:eastAsia="Calibri"/>
                <w:spacing w:val="-3"/>
              </w:rPr>
            </w:pPr>
            <w:r w:rsidRPr="002B48E7">
              <w:rPr>
                <w:rFonts w:eastAsia="Calibri"/>
                <w:spacing w:val="-3"/>
              </w:rPr>
              <w:t>БИК 044525823</w:t>
            </w:r>
          </w:p>
          <w:p w:rsidR="00823018" w:rsidRPr="002B48E7" w:rsidRDefault="00823018" w:rsidP="00145A3D">
            <w:pPr>
              <w:spacing w:after="120"/>
              <w:contextualSpacing/>
            </w:pPr>
            <w:r w:rsidRPr="002B48E7">
              <w:rPr>
                <w:rFonts w:eastAsia="Calibri"/>
                <w:spacing w:val="-3"/>
              </w:rPr>
              <w:t>Корр. счет 30101810200000</w:t>
            </w:r>
            <w:r>
              <w:rPr>
                <w:rFonts w:eastAsia="Calibri"/>
                <w:spacing w:val="-3"/>
              </w:rPr>
              <w:t>000823 в ГУ Банка России по ЦФО</w:t>
            </w:r>
          </w:p>
        </w:tc>
        <w:tc>
          <w:tcPr>
            <w:tcW w:w="4889" w:type="dxa"/>
            <w:shd w:val="clear" w:color="auto" w:fill="FFFFFF" w:themeFill="background1"/>
          </w:tcPr>
          <w:p w:rsidR="00823018" w:rsidRPr="002B48E7" w:rsidRDefault="00823018" w:rsidP="00145A3D">
            <w:pPr>
              <w:spacing w:after="120"/>
              <w:contextualSpacing/>
            </w:pPr>
          </w:p>
        </w:tc>
      </w:tr>
      <w:tr w:rsidR="00823018" w:rsidRPr="002B48E7" w:rsidTr="00145A3D">
        <w:tc>
          <w:tcPr>
            <w:tcW w:w="5283" w:type="dxa"/>
            <w:shd w:val="clear" w:color="auto" w:fill="FFFFFF" w:themeFill="background1"/>
          </w:tcPr>
          <w:p w:rsidR="00823018" w:rsidRPr="002B48E7" w:rsidRDefault="00823018" w:rsidP="00145A3D">
            <w:pPr>
              <w:spacing w:after="120"/>
              <w:contextualSpacing/>
            </w:pPr>
          </w:p>
          <w:p w:rsidR="00823018" w:rsidRPr="002B48E7" w:rsidRDefault="00823018" w:rsidP="00145A3D">
            <w:pPr>
              <w:spacing w:after="120"/>
              <w:contextualSpacing/>
            </w:pPr>
            <w:r w:rsidRPr="002B48E7">
              <w:t>Генеральный директор</w:t>
            </w:r>
          </w:p>
          <w:p w:rsidR="00823018" w:rsidRPr="002B48E7" w:rsidRDefault="00823018" w:rsidP="00145A3D">
            <w:pPr>
              <w:spacing w:after="120"/>
              <w:contextualSpacing/>
            </w:pPr>
          </w:p>
          <w:p w:rsidR="00823018" w:rsidRPr="002B48E7" w:rsidRDefault="00823018" w:rsidP="00145A3D">
            <w:pPr>
              <w:spacing w:after="120"/>
              <w:contextualSpacing/>
            </w:pPr>
            <w:r w:rsidRPr="002B48E7">
              <w:t>_________________________/И.В. Акимов/</w:t>
            </w:r>
          </w:p>
        </w:tc>
        <w:tc>
          <w:tcPr>
            <w:tcW w:w="4889" w:type="dxa"/>
            <w:shd w:val="clear" w:color="auto" w:fill="FFFFFF" w:themeFill="background1"/>
          </w:tcPr>
          <w:p w:rsidR="00823018" w:rsidRPr="002B48E7" w:rsidRDefault="00823018" w:rsidP="00145A3D">
            <w:pPr>
              <w:spacing w:after="120"/>
              <w:contextualSpacing/>
            </w:pPr>
          </w:p>
        </w:tc>
      </w:tr>
    </w:tbl>
    <w:p w:rsidR="0068498B" w:rsidRDefault="0068498B"/>
    <w:sectPr w:rsidR="0068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F03"/>
    <w:multiLevelType w:val="multilevel"/>
    <w:tmpl w:val="DC5E95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1"/>
    <w:rsid w:val="000F1425"/>
    <w:rsid w:val="0027666E"/>
    <w:rsid w:val="002C246E"/>
    <w:rsid w:val="00387231"/>
    <w:rsid w:val="0068498B"/>
    <w:rsid w:val="00714FF5"/>
    <w:rsid w:val="00730224"/>
    <w:rsid w:val="00753C76"/>
    <w:rsid w:val="00823018"/>
    <w:rsid w:val="00B77CE2"/>
    <w:rsid w:val="00B87AE5"/>
    <w:rsid w:val="00B96CA4"/>
    <w:rsid w:val="00C157E2"/>
    <w:rsid w:val="00C86848"/>
    <w:rsid w:val="00C93235"/>
    <w:rsid w:val="00CD40A1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6D54"/>
  <w15:chartTrackingRefBased/>
  <w15:docId w15:val="{1766A81C-5033-4140-A52B-D66AA88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1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23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2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Кристина Сергеевна</dc:creator>
  <cp:keywords/>
  <dc:description/>
  <cp:lastModifiedBy>Благинина Кристина Сергеевна</cp:lastModifiedBy>
  <cp:revision>2</cp:revision>
  <dcterms:created xsi:type="dcterms:W3CDTF">2023-03-01T05:23:00Z</dcterms:created>
  <dcterms:modified xsi:type="dcterms:W3CDTF">2023-03-01T05:23:00Z</dcterms:modified>
</cp:coreProperties>
</file>