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6"/>
        <w:ind w:firstLine="2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Сообщение о проведении торгов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153574</w:t>
      </w:r>
      <w:r>
        <w:rPr>
          <w:sz w:val="28"/>
          <w:szCs w:val="28"/>
        </w:rPr>
      </w:r>
      <w:r/>
    </w:p>
    <w:p>
      <w:pPr>
        <w:pStyle w:val="610"/>
        <w:ind w:firstLine="540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24.04.2023 10:00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0"/>
        <w:ind w:firstLine="540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0"/>
        <w:ind w:firstLine="540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0179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76"/>
        <w:gridCol w:w="5103"/>
      </w:tblGrid>
      <w:tr>
        <w:trPr/>
        <w:tc>
          <w:tcPr>
            <w:shd w:val="clear" w:color="auto" w:fill="ffffff"/>
            <w:tcW w:w="5076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наименование (фамилия, имя,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606"/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Дробинин  Сергей  Анатольевич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/>
          </w:p>
          <w:p>
            <w:pPr>
              <w:pStyle w:val="606"/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ОГРН</w:t>
            </w:r>
            <w:r>
              <w:rPr>
                <w:sz w:val="28"/>
                <w:szCs w:val="28"/>
                <w:lang w:val="en-US"/>
              </w:rPr>
              <w:t xml:space="preserve"> , </w:t>
            </w:r>
            <w:r>
              <w:rPr>
                <w:sz w:val="28"/>
                <w:szCs w:val="28"/>
                <w:lang w:val="en-US"/>
              </w:rPr>
              <w:t xml:space="preserve">ИНН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352508253164</w:t>
            </w:r>
            <w:r>
              <w:rPr>
                <w:sz w:val="28"/>
                <w:szCs w:val="28"/>
                <w:lang w:val="en-US"/>
              </w:rPr>
              <w:t xml:space="preserve">.</w:t>
            </w:r>
            <w:r/>
          </w:p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shd w:val="clear" w:color="auto" w:fill="ffffff"/>
            <w:tcW w:w="5076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олное наименование конкурсного управляющего, краткое наименование конкурсного управляющего, ОГРН конкурсного управляющего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Попов Дмитрий Андреевич</w:t>
            </w:r>
            <w:r/>
          </w:p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Ассоциация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«Саморегулируемая организация арбитражных управляющих «Меркурий»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shd w:val="clear" w:color="auto" w:fill="ffffff"/>
            <w:tcW w:w="5076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наименование арбитражного суда, рассматривающего дело о банкротстве, номер дела о банкротстве;</w:t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606"/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Арбитражный суд Вологодской области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дело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банкротстве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А13-14949/2021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shd w:val="clear" w:color="auto" w:fill="ffffff"/>
            <w:tcW w:w="5076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основание для проведения открытых торгов (реквизиты судебного акта арбитражного суда);</w:t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Арбитражный суд Вологодской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Решение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19.09.2022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</w:t>
            </w:r>
            <w:r/>
          </w:p>
        </w:tc>
      </w:tr>
      <w:tr>
        <w:trPr/>
        <w:tc>
          <w:tcPr>
            <w:shd w:val="clear" w:color="auto" w:fill="ffffff"/>
            <w:tcW w:w="5076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TOYOTA CAMRY, VIN XW7BF4FK90S046852, 2013 г.в., цвет кузова: черный металлик, мощность (кВт/л.с.): 133.1/181.0 .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ffffff"/>
            <w:tcW w:w="5076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представления предложений о цене имущества (предприятия) должника;</w:t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Аукцион с открытой формой подачи предложений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ffffff"/>
            <w:tcW w:w="5076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ffffff"/>
            <w:tcW w:w="5076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имущества (предприятия) должника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606"/>
              <w:ind w:firstLine="2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>
              <w:rPr>
                <w:sz w:val="28"/>
                <w:szCs w:val="28"/>
              </w:rPr>
              <w:t xml:space="preserve">16.03.2023</w:t>
            </w:r>
            <w:r>
              <w:rPr>
                <w:sz w:val="28"/>
                <w:szCs w:val="28"/>
              </w:rPr>
              <w:t xml:space="preserve"> г. и заканчивается </w:t>
            </w:r>
            <w:r>
              <w:rPr>
                <w:sz w:val="28"/>
                <w:szCs w:val="28"/>
              </w:rPr>
              <w:t xml:space="preserve">21.04.2023 г. в 10:00</w:t>
            </w:r>
            <w:r>
              <w:rPr>
                <w:sz w:val="28"/>
                <w:szCs w:val="28"/>
              </w:rPr>
              <w:t xml:space="preserve"> (время московское).</w:t>
            </w:r>
            <w:r/>
          </w:p>
        </w:tc>
      </w:tr>
      <w:tr>
        <w:trPr/>
        <w:tc>
          <w:tcPr>
            <w:shd w:val="clear" w:color="auto" w:fill="ffffff"/>
            <w:tcW w:w="5076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и) порядок оформления участия в торгах, перечень представляемых участниками торгов документов и требования к их оформлению;</w:t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606"/>
              <w:ind w:firstLine="29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  <w:outlineLvl w:val="0"/>
            </w:pPr>
            <w:r>
              <w:rPr>
                <w:bCs/>
                <w:sz w:val="28"/>
                <w:szCs w:val="28"/>
              </w:rPr>
              <w:t xml:space="preserve">Для участия в торгах заявитель должен зарегистрироваться, пройти аккредитацию на ЭП, подать заявку, заключить с организатором торгов договор о задатке, оплатить задаток. Заявитель направляет оператору ЭП завер</w:t>
            </w:r>
            <w:r>
              <w:rPr>
                <w:bCs/>
                <w:sz w:val="28"/>
                <w:szCs w:val="28"/>
              </w:rPr>
              <w:t xml:space="preserve">енную банком копию платежного поручения об оплате задатка, заявку на участие в торгах, которая должна содержать сведения, предусмотренные законом и документы, перечисленные в ст.110 ФЗ «О несостоятельности (банкротстве)» и указанные на ЭП. К участию в торг</w:t>
            </w:r>
            <w:r>
              <w:rPr>
                <w:bCs/>
                <w:sz w:val="28"/>
                <w:szCs w:val="28"/>
              </w:rPr>
              <w:t xml:space="preserve">ах допускаются юридические и физические лица, своевременно подавшие заявку на участие в торгах и оплатившие задаток. Заявка на участие в торгах должна соответствовать требованиям, установленным ФЗ «О несостоятельности (банкротстве)» от 26.10.2002 №127-ФЗ, </w:t>
            </w:r>
            <w:r>
              <w:rPr>
                <w:bCs/>
                <w:sz w:val="28"/>
                <w:szCs w:val="28"/>
              </w:rPr>
              <w:t xml:space="preserve">Приказом Минэкономразвития РФ от 23.07.2015 г. № 495 и оформляться в форме электронного документа. Заявка на участие в торгах составляется в произвольной форме на русском языке и должна содержать следующие сведения: - наименование, организационно-правовая </w:t>
            </w:r>
            <w:r>
              <w:rPr>
                <w:bCs/>
                <w:sz w:val="28"/>
                <w:szCs w:val="28"/>
              </w:rPr>
              <w:t xml:space="preserve">форма, место нахождения, почтовый адрес заявителя (для юридического лица); - фамилия, имя, отчество, паспортные данные, сведения о месте жительства заявителя (для физического лица); - номер контактного телефона, адрес электронной почты заявителя. Заявка на</w:t>
            </w:r>
            <w:r>
              <w:rPr>
                <w:bCs/>
                <w:sz w:val="28"/>
                <w:szCs w:val="28"/>
              </w:rPr>
              <w:t xml:space="preserve"> участие в торгах должна содержать также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</w:t>
            </w:r>
            <w:r>
              <w:rPr>
                <w:bCs/>
                <w:sz w:val="28"/>
                <w:szCs w:val="28"/>
              </w:rPr>
              <w:t xml:space="preserve">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 К заявке на участие в торгах должны прилагаться копии следующих документов: выписка из единого государстве</w:t>
            </w:r>
            <w:r>
              <w:rPr>
                <w:bCs/>
                <w:sz w:val="28"/>
                <w:szCs w:val="28"/>
              </w:rPr>
              <w:t xml:space="preserve">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документы, удостоверяющие личность (для физического лица), надлежащим образом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auto"/>
                <w:sz w:val="28"/>
                <w:szCs w:val="28"/>
                <w:highlight w:val="white"/>
              </w:rPr>
              <w:t xml:space="preserve">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</w:t>
            </w:r>
            <w:r>
              <w:rPr>
                <w:rFonts w:ascii="Times New Roman" w:hAnsi="Times New Roman" w:eastAsia="Arial" w:cs="Times New Roman"/>
                <w:color w:val="auto"/>
                <w:sz w:val="28"/>
                <w:szCs w:val="28"/>
                <w:highlight w:val="white"/>
              </w:rPr>
              <w:t xml:space="preserve">иностранного лица);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подписью заявителя. Заявка на участие в торга</w:t>
            </w:r>
            <w:r>
              <w:rPr>
                <w:rFonts w:ascii="Times New Roman" w:hAnsi="Times New Roman" w:eastAsia="Arial" w:cs="Times New Roman"/>
                <w:color w:val="auto"/>
                <w:sz w:val="28"/>
                <w:szCs w:val="28"/>
                <w:highlight w:val="white"/>
              </w:rPr>
              <w:t xml:space="preserve">х должна быть подписана электронной подписью заявителя.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fffff"/>
            <w:tcW w:w="5076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к) размер задатка, сроки и порядок внесения и возврата задатка, реквизиты счетов, на которые вносится задаток;</w:t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  <w:r/>
          </w:p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1: 70 810.00 руб.</w:t>
            </w:r>
            <w:r/>
          </w:p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  <w:r/>
          </w:p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outlineLvl w:val="1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Размер задатка составляет 10 % от начальной цены лота. К участию в торгах допускаются физические или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юридические лица, индивидуальные предприниматели, своевременно подавшие заявку на участие в торгах с необходимыми и надлежащим образом оформленными документами и обеспечившие поступление задатка на счет организатора торгов до окончания срока подачи заявок.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Задаток вносится на расчетный счет Должника открытый в Вологодском отделении ПАО «Сбербанк» № 8638, кор.счет: 30101810900000000644, БИК банка: 041909644, КПП б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анка: 352502001, ИНН банка: 7707083893, счет получателя: 40817810412001443932, получатель Дробинин Сергей Анатольевич (ИНН: 352508253164), в счет обеспечения оплаты приобретаемого на торгах Имущества. Заявитель вправе изменить или отозвать заявку на участи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е в открытых торгах не позднее окончания срока подачи заявок на участие в открытых торгах, направив об этом уведомление оператору электронной площадки. В случае отзыва Претендентом в установленном порядке заявки до даты окончания приема заявок поступивший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от Претендента задаток подлежит возврату в течение пяти рабочих дней со дня поступления уведомления об отзыве заявки. Суммы внесенных заявителями задатков возвращаются всем заявителям, за исключением победителя торгов, в течение пяти рабочих дней со дня по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дписания протокола о результатах проведения торгов и поступления соответствующего заявления. В обоих случаях претендентам и участникам торгов для возврата перечисленных денежных средств необходимо представить организатору торгов реквизиты расчетного счета.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.</w:t>
            </w:r>
            <w:r/>
          </w:p>
          <w:p>
            <w:pPr>
              <w:pStyle w:val="617"/>
              <w:ind w:firstLine="290"/>
              <w:jc w:val="both"/>
              <w:widowControl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  <w:lang w:val="en-US"/>
              </w:rPr>
              <w:t xml:space="preserve">Задаток вносится на расчетный счет Должника открытый в Вологодском отделении ПАО «Сбербанк» № 8638, кор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  <w:lang w:val="en-US"/>
              </w:rPr>
              <w:t xml:space="preserve">.счет: 30101810900000000644, БИК банка: 041909644, КПП банка: 352502001, ИНН банка: 7707083893, счет получателя: 40817810412001443932, получатель Дробинин Сергей Анатольевич (ИНН: 352508253164), в счет обеспечения оплаты приобретаемого на торгах Имущества.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shd w:val="clear" w:color="auto" w:fill="ffffff"/>
            <w:tcW w:w="5076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л) начальная цена продажи имущества (предприятия) должника;</w:t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Лот 1: 708 100.00 руб.</w:t>
            </w:r>
            <w:r/>
          </w:p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shd w:val="clear" w:color="auto" w:fill="ffffff"/>
            <w:tcW w:w="5076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м) величи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606"/>
              <w:ind w:firstLine="29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Лот 1: 35 405.00 руб.</w:t>
            </w:r>
            <w:r/>
          </w:p>
          <w:p>
            <w:pPr>
              <w:pStyle w:val="606"/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shd w:val="clear" w:color="auto" w:fill="ffffff"/>
            <w:tcW w:w="5076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н) порядок и критерии определения победителя торгов;</w:t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606"/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Победителем торгов признается участник торгов, предложивший наиболее высокую цену. В случае, если две и более заявки участников торгов на участие в торгах содержат предл</w:t>
            </w:r>
            <w:r>
              <w:rPr>
                <w:color w:val="000000"/>
                <w:sz w:val="28"/>
                <w:szCs w:val="28"/>
              </w:rPr>
              <w:t xml:space="preserve">ожения об одинаковой цене Имущества, Победителем торгов признается участник торгов, ранее других указанных участников представивший заявку на участие в торгах. Если к участию в торгах был допущен только один участник, заявка которого на участие в торгах со</w:t>
            </w:r>
            <w:r>
              <w:rPr>
                <w:color w:val="000000"/>
                <w:sz w:val="28"/>
                <w:szCs w:val="28"/>
              </w:rPr>
              <w:t xml:space="preserve">держит предложение о цене Имущества Должника не ниже установленной начальной цены Имущества Должника, договор купли-продажи заключается Организатором торгов с этим участником торгов в соответствии с представленным им предложением о цене Имущества Должника.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shd w:val="clear" w:color="auto" w:fill="ffffff"/>
            <w:tcW w:w="5076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о) дата, время и место подведения результатов открытых торгов;</w:t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606"/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24.04.2023 на электронной площадке АО "Российский аукционный дом".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ffffff"/>
            <w:tcW w:w="5076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п) порядок и срок заключения договора купли-продажи имущества (предприятия) должника;</w:t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606"/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5 рабочих дней победителю направляется предложени</w:t>
            </w:r>
            <w:r>
              <w:rPr>
                <w:color w:val="000000"/>
                <w:sz w:val="28"/>
                <w:szCs w:val="28"/>
              </w:rPr>
              <w:t xml:space="preserve">е заключить договор с приложением проекта договора. Протокол, предложение заключить договор с приложением самого договора направляется победителю торгов посредством электронной почты. Договор должен быть подписан победителем торгов в течение 5 рабочих дней</w:t>
            </w:r>
            <w:r>
              <w:rPr>
                <w:color w:val="000000"/>
                <w:sz w:val="28"/>
                <w:szCs w:val="28"/>
              </w:rPr>
              <w:t xml:space="preserve"> с даты получения предложения о заключении договора купли-продажи. Подписанный договор должен быть направлен организатору торгов в течение 5 рабочих дней с момента его подписания по почте (адрес для корреспонденции: 160004, г. Вологда, а/я № 1), а также в </w:t>
            </w:r>
            <w:r>
              <w:rPr>
                <w:color w:val="000000"/>
                <w:sz w:val="28"/>
                <w:szCs w:val="28"/>
              </w:rPr>
              <w:t xml:space="preserve">отсканированном виде на эл. почту (Redxabk@yandex.ru). В случае отказа или уклонения Победителя торгов от подписания договора купли-продажи в течение 5 дней со дня получения предложения финансового управляющего о заключении такого договора внесенный задато</w:t>
            </w:r>
            <w:r>
              <w:rPr>
                <w:color w:val="000000"/>
                <w:sz w:val="28"/>
                <w:szCs w:val="28"/>
              </w:rPr>
              <w:t xml:space="preserve">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ffffff"/>
            <w:tcW w:w="5076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р) сроки платежей, реквизиты счетов, на которые вносятся платежи;</w:t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606"/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Оплата по договору производится в течение 30 дней с даты подписания договора купли-продажи по реквизитам, по которым вносился задаток: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shd w:val="clear" w:color="auto" w:fill="ffffff"/>
            <w:tcW w:w="5076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с) сведения об организаторе торгов (его почтовый адрес, адрес электронной почты, номер контактного телефона);</w:t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торгов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Попов Дмитрий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352510317400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КПП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г Вологда, ул Гагарина, д 2а к 3, кв 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+89815034973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 xml:space="preserve"> HYPERLINK "mailto:agafonov@property-fund.ru" </w:instrTex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Redxabk@yandex.ru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shd w:val="clear" w:color="auto" w:fill="ffffff"/>
            <w:tcW w:w="5076" w:type="dxa"/>
            <w:vAlign w:val="top"/>
            <w:textDirection w:val="lrTb"/>
            <w:noWrap w:val="false"/>
          </w:tcPr>
          <w:p>
            <w:pPr>
              <w:pStyle w:val="606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>
              <w:rPr>
                <w:color w:val="000000"/>
                <w:sz w:val="28"/>
                <w:szCs w:val="28"/>
              </w:rPr>
              <w:t xml:space="preserve">законом</w:t>
            </w:r>
            <w:r>
              <w:rPr>
                <w:sz w:val="28"/>
                <w:szCs w:val="28"/>
              </w:rPr>
              <w:t xml:space="preserve"> от 26 октября 2002 г. N 127-ФЗ "О несостоятельности (банкротстве)" (Собрание законодательства Российской Федерации, 2002, N 43, ст</w:t>
            </w:r>
            <w:r>
              <w:rPr>
                <w:sz w:val="28"/>
                <w:szCs w:val="28"/>
              </w:rPr>
              <w:t xml:space="preserve">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</w:t>
            </w:r>
            <w:r>
              <w:rPr>
                <w:sz w:val="28"/>
                <w:szCs w:val="28"/>
              </w:rPr>
              <w:t xml:space="preserve">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r/>
          </w:p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610"/>
              <w:ind w:left="16" w:firstLine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13.03.2023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r>
            <w:r/>
          </w:p>
          <w:p>
            <w:pPr>
              <w:pStyle w:val="610"/>
              <w:ind w:firstLine="29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outlineLvl w:val="1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r>
            <w:r/>
          </w:p>
        </w:tc>
      </w:tr>
    </w:tbl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en-US"/>
        </w:rPr>
      </w:r>
      <w:r/>
    </w:p>
    <w:sectPr>
      <w:footnotePr/>
      <w:endnotePr/>
      <w:type w:val="nextPage"/>
      <w:pgSz w:w="11906" w:h="16838" w:orient="portrait"/>
      <w:pgMar w:top="1134" w:right="851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pStyle w:val="606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6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6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6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6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6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6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6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6"/>
        <w:ind w:left="6840" w:hanging="180"/>
        <w:tabs>
          <w:tab w:val="num" w:pos="684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6"/>
        <w:ind w:left="360" w:hanging="360"/>
        <w:tabs>
          <w:tab w:val="num" w:pos="360" w:leader="none"/>
        </w:tabs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pStyle w:val="606"/>
        <w:ind w:left="1332" w:hanging="432"/>
        <w:tabs>
          <w:tab w:val="num" w:pos="133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06"/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06"/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06"/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06"/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06"/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06"/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06"/>
        <w:ind w:left="4320" w:hanging="1440"/>
        <w:tabs>
          <w:tab w:val="num" w:pos="4680" w:leader="none"/>
        </w:tabs>
      </w:pPr>
    </w:lvl>
  </w:abstractNum>
  <w:abstractNum w:abstractNumId="2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pStyle w:val="60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6"/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6"/>
    <w:next w:val="60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6"/>
    <w:next w:val="60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6"/>
    <w:next w:val="60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6"/>
    <w:next w:val="60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6"/>
    <w:next w:val="60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6"/>
    <w:next w:val="60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6"/>
    <w:next w:val="60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6"/>
    <w:next w:val="60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6"/>
    <w:next w:val="60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6"/>
    <w:next w:val="60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6"/>
    <w:next w:val="60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6"/>
    <w:next w:val="60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6"/>
    <w:next w:val="60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6"/>
    <w:next w:val="6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6"/>
    <w:next w:val="60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6"/>
    <w:next w:val="60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6"/>
    <w:next w:val="60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6"/>
    <w:next w:val="60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6"/>
    <w:next w:val="60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6"/>
    <w:next w:val="60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6"/>
    <w:next w:val="60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6"/>
    <w:next w:val="60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6"/>
    <w:next w:val="60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6"/>
    <w:next w:val="606"/>
    <w:uiPriority w:val="99"/>
    <w:unhideWhenUsed/>
    <w:pPr>
      <w:spacing w:after="0" w:afterAutospacing="0"/>
    </w:pPr>
  </w:style>
  <w:style w:type="paragraph" w:styleId="606" w:default="1">
    <w:name w:val="Normal"/>
    <w:next w:val="606"/>
    <w:link w:val="606"/>
    <w:qFormat/>
    <w:rPr>
      <w:color w:val="000000"/>
      <w:sz w:val="24"/>
      <w:szCs w:val="24"/>
      <w:lang w:val="ru-RU" w:eastAsia="ru-RU" w:bidi="ar-SA"/>
    </w:rPr>
  </w:style>
  <w:style w:type="character" w:styleId="607">
    <w:name w:val="Основной шрифт абзаца, Знак Знак"/>
    <w:next w:val="607"/>
    <w:link w:val="606"/>
    <w:semiHidden/>
  </w:style>
  <w:style w:type="table" w:styleId="608">
    <w:name w:val="Обычная таблица"/>
    <w:next w:val="608"/>
    <w:link w:val="606"/>
    <w:semiHidden/>
    <w:tblPr/>
  </w:style>
  <w:style w:type="numbering" w:styleId="609">
    <w:name w:val="Нет списка"/>
    <w:next w:val="609"/>
    <w:link w:val="606"/>
    <w:semiHidden/>
  </w:style>
  <w:style w:type="paragraph" w:styleId="610">
    <w:name w:val="ConsPlusNormal"/>
    <w:next w:val="610"/>
    <w:link w:val="606"/>
    <w:pPr>
      <w:ind w:firstLine="720"/>
    </w:pPr>
    <w:rPr>
      <w:rFonts w:ascii="Arial" w:hAnsi="Arial" w:cs="Arial"/>
      <w:lang w:val="ru-RU" w:eastAsia="ru-RU" w:bidi="ar-SA"/>
    </w:rPr>
  </w:style>
  <w:style w:type="paragraph" w:styleId="611">
    <w:name w:val="ConsPlusNonformat"/>
    <w:next w:val="611"/>
    <w:link w:val="606"/>
    <w:rPr>
      <w:rFonts w:ascii="Courier New" w:hAnsi="Courier New" w:cs="Courier New"/>
      <w:lang w:val="ru-RU" w:eastAsia="ru-RU" w:bidi="ar-SA"/>
    </w:rPr>
  </w:style>
  <w:style w:type="table" w:styleId="612">
    <w:name w:val="Сетка таблицы"/>
    <w:basedOn w:val="608"/>
    <w:next w:val="612"/>
    <w:link w:val="606"/>
    <w:tblPr/>
  </w:style>
  <w:style w:type="paragraph" w:styleId="613">
    <w:name w:val="UserStyle_2"/>
    <w:basedOn w:val="606"/>
    <w:next w:val="613"/>
    <w:link w:val="6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614">
    <w:name w:val="paragraph"/>
    <w:basedOn w:val="607"/>
    <w:next w:val="614"/>
    <w:link w:val="606"/>
  </w:style>
  <w:style w:type="character" w:styleId="615">
    <w:name w:val="Гиперссылка"/>
    <w:next w:val="615"/>
    <w:link w:val="606"/>
    <w:rPr>
      <w:color w:val="0000ff"/>
      <w:u w:val="single"/>
    </w:rPr>
  </w:style>
  <w:style w:type="paragraph" w:styleId="616">
    <w:name w:val="Текст выноски"/>
    <w:basedOn w:val="606"/>
    <w:next w:val="616"/>
    <w:link w:val="606"/>
    <w:semiHidden/>
    <w:rPr>
      <w:rFonts w:ascii="Tahoma" w:hAnsi="Tahoma" w:cs="Tahoma"/>
      <w:sz w:val="16"/>
      <w:szCs w:val="16"/>
    </w:rPr>
  </w:style>
  <w:style w:type="paragraph" w:styleId="617">
    <w:name w:val="ConsTitle"/>
    <w:next w:val="617"/>
    <w:link w:val="606"/>
    <w:pPr>
      <w:widowControl w:val="off"/>
    </w:pPr>
    <w:rPr>
      <w:rFonts w:ascii="Arial" w:hAnsi="Arial"/>
      <w:b/>
      <w:sz w:val="16"/>
      <w:lang w:val="ru-RU" w:eastAsia="ru-RU" w:bidi="ar-SA"/>
    </w:rPr>
  </w:style>
  <w:style w:type="character" w:styleId="618">
    <w:name w:val="Знак примечания"/>
    <w:next w:val="618"/>
    <w:link w:val="606"/>
    <w:semiHidden/>
    <w:rPr>
      <w:sz w:val="16"/>
      <w:szCs w:val="16"/>
    </w:rPr>
  </w:style>
  <w:style w:type="paragraph" w:styleId="619">
    <w:name w:val="Текст примечания"/>
    <w:basedOn w:val="606"/>
    <w:next w:val="619"/>
    <w:link w:val="606"/>
    <w:semiHidden/>
    <w:rPr>
      <w:sz w:val="20"/>
      <w:szCs w:val="20"/>
    </w:rPr>
  </w:style>
  <w:style w:type="paragraph" w:styleId="620">
    <w:name w:val="Тема примечания"/>
    <w:basedOn w:val="619"/>
    <w:next w:val="619"/>
    <w:link w:val="606"/>
    <w:semiHidden/>
    <w:rPr>
      <w:b/>
      <w:bCs/>
    </w:rPr>
  </w:style>
  <w:style w:type="character" w:styleId="621">
    <w:name w:val="apple-style-span"/>
    <w:basedOn w:val="607"/>
    <w:next w:val="621"/>
    <w:link w:val="606"/>
  </w:style>
  <w:style w:type="character" w:styleId="1157" w:default="1">
    <w:name w:val="Default Paragraph Font"/>
    <w:uiPriority w:val="1"/>
    <w:semiHidden/>
    <w:unhideWhenUsed/>
  </w:style>
  <w:style w:type="numbering" w:styleId="1158" w:default="1">
    <w:name w:val="No List"/>
    <w:uiPriority w:val="99"/>
    <w:semiHidden/>
    <w:unhideWhenUsed/>
  </w:style>
  <w:style w:type="table" w:styleId="11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revision>15</cp:revision>
  <dcterms:created xsi:type="dcterms:W3CDTF">2011-07-08T09:43:00Z</dcterms:created>
  <dcterms:modified xsi:type="dcterms:W3CDTF">2023-03-13T17:07:29Z</dcterms:modified>
  <cp:version>983040</cp:version>
</cp:coreProperties>
</file>