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77777777" w:rsidR="00D93F46" w:rsidRPr="008D276B" w:rsidRDefault="00D93F46" w:rsidP="00D93F46">
      <w:pPr>
        <w:jc w:val="center"/>
        <w:rPr>
          <w:rFonts w:cs="Times New Roman"/>
          <w:b/>
          <w:sz w:val="28"/>
          <w:szCs w:val="28"/>
        </w:rPr>
      </w:pPr>
      <w:r w:rsidRPr="008D276B">
        <w:rPr>
          <w:rFonts w:cs="Times New Roman"/>
          <w:b/>
          <w:sz w:val="28"/>
          <w:szCs w:val="28"/>
        </w:rPr>
        <w:t>Электронный аукцион по продаже 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017B6EFB"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AC2C1A">
        <w:rPr>
          <w:rFonts w:eastAsia="Times New Roman" w:cs="Times New Roman"/>
          <w:b/>
          <w:bCs/>
          <w:kern w:val="0"/>
          <w:lang w:eastAsia="ru-RU" w:bidi="ar-SA"/>
        </w:rPr>
        <w:t>17 апреля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24615F65"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AC2C1A">
        <w:rPr>
          <w:rFonts w:eastAsia="Times New Roman" w:cs="Times New Roman"/>
          <w:b/>
          <w:bCs/>
          <w:kern w:val="0"/>
          <w:lang w:eastAsia="ru-RU" w:bidi="ar-SA"/>
        </w:rPr>
        <w:t>15</w:t>
      </w:r>
      <w:r w:rsidRPr="00314CC5">
        <w:rPr>
          <w:rFonts w:eastAsia="Times New Roman" w:cs="Times New Roman"/>
          <w:b/>
          <w:bCs/>
          <w:kern w:val="0"/>
          <w:lang w:eastAsia="ru-RU" w:bidi="ar-SA"/>
        </w:rPr>
        <w:t>.</w:t>
      </w:r>
      <w:r w:rsidR="00990E1B">
        <w:rPr>
          <w:rFonts w:eastAsia="Times New Roman" w:cs="Times New Roman"/>
          <w:b/>
          <w:bCs/>
          <w:kern w:val="0"/>
          <w:lang w:eastAsia="ru-RU" w:bidi="ar-SA"/>
        </w:rPr>
        <w:t>0</w:t>
      </w:r>
      <w:r w:rsidR="00AC2C1A">
        <w:rPr>
          <w:rFonts w:eastAsia="Times New Roman" w:cs="Times New Roman"/>
          <w:b/>
          <w:bCs/>
          <w:kern w:val="0"/>
          <w:lang w:eastAsia="ru-RU" w:bidi="ar-SA"/>
        </w:rPr>
        <w:t>3</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AC2C1A">
        <w:rPr>
          <w:rFonts w:eastAsia="Times New Roman" w:cs="Times New Roman"/>
          <w:b/>
          <w:bCs/>
          <w:kern w:val="0"/>
          <w:lang w:eastAsia="ru-RU" w:bidi="ar-SA"/>
        </w:rPr>
        <w:t>13</w:t>
      </w:r>
      <w:r w:rsidRPr="00314CC5">
        <w:rPr>
          <w:rFonts w:eastAsia="Times New Roman" w:cs="Times New Roman"/>
          <w:b/>
          <w:bCs/>
          <w:kern w:val="0"/>
          <w:lang w:eastAsia="ru-RU" w:bidi="ar-SA"/>
        </w:rPr>
        <w:t>.0</w:t>
      </w:r>
      <w:r w:rsidR="00AC2C1A">
        <w:rPr>
          <w:rFonts w:eastAsia="Times New Roman" w:cs="Times New Roman"/>
          <w:b/>
          <w:bCs/>
          <w:kern w:val="0"/>
          <w:lang w:eastAsia="ru-RU" w:bidi="ar-SA"/>
        </w:rPr>
        <w:t>4</w:t>
      </w:r>
      <w:r w:rsidRPr="00314CC5">
        <w:rPr>
          <w:rFonts w:eastAsia="Times New Roman" w:cs="Times New Roman"/>
          <w:b/>
          <w:bCs/>
          <w:kern w:val="0"/>
          <w:lang w:eastAsia="ru-RU" w:bidi="ar-SA"/>
        </w:rPr>
        <w:t>.2023 до 23:59.</w:t>
      </w:r>
    </w:p>
    <w:p w14:paraId="70EC2CA7" w14:textId="0FC2D18C"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AC2C1A">
        <w:rPr>
          <w:rFonts w:eastAsia="Times New Roman" w:cs="Times New Roman"/>
          <w:b/>
          <w:bCs/>
          <w:kern w:val="0"/>
          <w:lang w:eastAsia="ru-RU" w:bidi="ar-SA"/>
        </w:rPr>
        <w:t>13</w:t>
      </w:r>
      <w:r w:rsidRPr="00314CC5">
        <w:rPr>
          <w:rFonts w:eastAsia="Times New Roman" w:cs="Times New Roman"/>
          <w:b/>
          <w:bCs/>
          <w:kern w:val="0"/>
          <w:lang w:eastAsia="ru-RU" w:bidi="ar-SA"/>
        </w:rPr>
        <w:t>.0</w:t>
      </w:r>
      <w:r w:rsidR="00AC2C1A">
        <w:rPr>
          <w:rFonts w:eastAsia="Times New Roman" w:cs="Times New Roman"/>
          <w:b/>
          <w:bCs/>
          <w:kern w:val="0"/>
          <w:lang w:eastAsia="ru-RU" w:bidi="ar-SA"/>
        </w:rPr>
        <w:t>4</w:t>
      </w:r>
      <w:r w:rsidRPr="00314CC5">
        <w:rPr>
          <w:rFonts w:eastAsia="Times New Roman" w:cs="Times New Roman"/>
          <w:b/>
          <w:bCs/>
          <w:kern w:val="0"/>
          <w:lang w:eastAsia="ru-RU" w:bidi="ar-SA"/>
        </w:rPr>
        <w:t>.2023.</w:t>
      </w:r>
    </w:p>
    <w:p w14:paraId="5189C6B8" w14:textId="30987AC5"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990E1B">
        <w:rPr>
          <w:rFonts w:eastAsia="Times New Roman" w:cs="Times New Roman"/>
          <w:b/>
          <w:bCs/>
          <w:kern w:val="0"/>
          <w:lang w:eastAsia="ru-RU" w:bidi="ar-SA"/>
        </w:rPr>
        <w:t>1</w:t>
      </w:r>
      <w:r w:rsidR="00AC2C1A">
        <w:rPr>
          <w:rFonts w:eastAsia="Times New Roman" w:cs="Times New Roman"/>
          <w:b/>
          <w:bCs/>
          <w:kern w:val="0"/>
          <w:lang w:eastAsia="ru-RU" w:bidi="ar-SA"/>
        </w:rPr>
        <w:t>4</w:t>
      </w:r>
      <w:r w:rsidRPr="00314CC5">
        <w:rPr>
          <w:rFonts w:eastAsia="Times New Roman" w:cs="Times New Roman"/>
          <w:b/>
          <w:bCs/>
          <w:kern w:val="0"/>
          <w:lang w:eastAsia="ru-RU" w:bidi="ar-SA"/>
        </w:rPr>
        <w:t>.0</w:t>
      </w:r>
      <w:r w:rsidR="00AC2C1A">
        <w:rPr>
          <w:rFonts w:eastAsia="Times New Roman" w:cs="Times New Roman"/>
          <w:b/>
          <w:bCs/>
          <w:kern w:val="0"/>
          <w:lang w:eastAsia="ru-RU" w:bidi="ar-SA"/>
        </w:rPr>
        <w:t>4</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3CFB1A76" w14:textId="648EB731" w:rsidR="00D93F46" w:rsidRDefault="00D93F46" w:rsidP="00D93F46">
      <w:pPr>
        <w:jc w:val="center"/>
        <w:rPr>
          <w:b/>
          <w:kern w:val="2"/>
        </w:rPr>
      </w:pPr>
      <w:r w:rsidRPr="003931C0">
        <w:rPr>
          <w:b/>
          <w:kern w:val="2"/>
        </w:rPr>
        <w:t>Сведения об объект</w:t>
      </w:r>
      <w:r w:rsidR="00990E1B">
        <w:rPr>
          <w:b/>
          <w:kern w:val="2"/>
        </w:rPr>
        <w:t>е</w:t>
      </w:r>
      <w:r w:rsidRPr="003931C0">
        <w:rPr>
          <w:b/>
          <w:kern w:val="2"/>
        </w:rPr>
        <w:t>, выставленн</w:t>
      </w:r>
      <w:r w:rsidR="00990E1B">
        <w:rPr>
          <w:b/>
          <w:kern w:val="2"/>
        </w:rPr>
        <w:t>ом</w:t>
      </w:r>
      <w:r w:rsidRPr="003931C0">
        <w:rPr>
          <w:b/>
          <w:kern w:val="2"/>
        </w:rPr>
        <w:t xml:space="preserve"> на продажу:</w:t>
      </w:r>
    </w:p>
    <w:p w14:paraId="0832F47E" w14:textId="77777777" w:rsidR="00D93F46" w:rsidRDefault="00D93F46" w:rsidP="00D93F46">
      <w:pPr>
        <w:ind w:firstLine="709"/>
        <w:jc w:val="center"/>
        <w:rPr>
          <w:b/>
          <w:kern w:val="2"/>
        </w:rPr>
      </w:pPr>
    </w:p>
    <w:p w14:paraId="66984041" w14:textId="77777777" w:rsidR="00EC00CA" w:rsidRPr="00524E6B" w:rsidRDefault="00EC00CA" w:rsidP="00EC00CA">
      <w:pPr>
        <w:jc w:val="center"/>
        <w:rPr>
          <w:rFonts w:cs="Times New Roman"/>
          <w:b/>
          <w:u w:val="single"/>
        </w:rPr>
      </w:pPr>
      <w:bookmarkStart w:id="0" w:name="_Hlk112413804"/>
      <w:r w:rsidRPr="00524E6B">
        <w:rPr>
          <w:rFonts w:cs="Times New Roman"/>
          <w:b/>
          <w:u w:val="single"/>
        </w:rPr>
        <w:t>Лот №1:</w:t>
      </w:r>
    </w:p>
    <w:p w14:paraId="30F2E733" w14:textId="4D77A799" w:rsidR="00990E1B" w:rsidRPr="00990E1B" w:rsidRDefault="00990E1B" w:rsidP="00990E1B">
      <w:pPr>
        <w:suppressAutoHyphens w:val="0"/>
        <w:contextualSpacing/>
        <w:jc w:val="both"/>
        <w:rPr>
          <w:rFonts w:eastAsia="Times New Roman" w:cs="Times New Roman"/>
          <w:kern w:val="0"/>
          <w:lang w:eastAsia="ru-RU" w:bidi="ar-SA"/>
        </w:rPr>
      </w:pPr>
      <w:r>
        <w:rPr>
          <w:rFonts w:eastAsia="Times New Roman" w:cs="Times New Roman"/>
          <w:kern w:val="0"/>
          <w:lang w:eastAsia="ru-RU" w:bidi="ar-SA"/>
        </w:rPr>
        <w:t>П</w:t>
      </w:r>
      <w:r w:rsidRPr="00990E1B">
        <w:rPr>
          <w:rFonts w:eastAsia="Times New Roman" w:cs="Times New Roman"/>
          <w:kern w:val="0"/>
          <w:lang w:eastAsia="ru-RU" w:bidi="ar-SA"/>
        </w:rPr>
        <w:t>омещение, площадь: 234 кв. м, назначение: нежилое, номер, тип этажа, на котором расположено помещение: Этаж №1, расположенное по адресу: Ульяновская обл., г. Димитровград, ул. Куйбышева, д. 257, пом. № 48,50,52-56,58-59,64,67,72-77, кадастровый номер 73:23:010610:1182,</w:t>
      </w:r>
      <w:r w:rsidRPr="00990E1B">
        <w:rPr>
          <w:rFonts w:eastAsia="Times New Roman" w:cs="Times New Roman"/>
          <w:bCs/>
          <w:kern w:val="0"/>
          <w:lang w:eastAsia="ru-RU" w:bidi="ar-SA"/>
        </w:rPr>
        <w:t xml:space="preserve">  и </w:t>
      </w:r>
      <w:r w:rsidRPr="00990E1B">
        <w:rPr>
          <w:rFonts w:eastAsia="Times New Roman" w:cs="Times New Roman"/>
          <w:kern w:val="0"/>
          <w:lang w:eastAsia="ru-RU" w:bidi="ar-SA"/>
        </w:rPr>
        <w:t xml:space="preserve">совместно с имуществом:   </w:t>
      </w:r>
    </w:p>
    <w:p w14:paraId="719C59EE" w14:textId="77777777" w:rsidR="00990E1B" w:rsidRPr="00990E1B" w:rsidRDefault="00990E1B" w:rsidP="00990E1B">
      <w:pPr>
        <w:suppressAutoHyphens w:val="0"/>
        <w:jc w:val="both"/>
        <w:rPr>
          <w:rFonts w:eastAsia="Times New Roman" w:cs="Times New Roman"/>
          <w:kern w:val="0"/>
          <w:lang w:eastAsia="ru-RU" w:bidi="ar-SA"/>
        </w:rPr>
      </w:pPr>
      <w:r w:rsidRPr="00990E1B">
        <w:rPr>
          <w:rFonts w:eastAsia="Times New Roman" w:cs="Times New Roman"/>
          <w:kern w:val="0"/>
          <w:lang w:eastAsia="ru-RU" w:bidi="ar-SA"/>
        </w:rPr>
        <w:t xml:space="preserve">- Кассета </w:t>
      </w:r>
      <w:r w:rsidRPr="00990E1B">
        <w:rPr>
          <w:rFonts w:eastAsia="Times New Roman" w:cs="Times New Roman"/>
          <w:kern w:val="0"/>
          <w:lang w:val="en-US" w:eastAsia="ru-RU" w:bidi="ar-SA"/>
        </w:rPr>
        <w:t>KENTATSU</w:t>
      </w:r>
      <w:r w:rsidRPr="00990E1B">
        <w:rPr>
          <w:rFonts w:eastAsia="Times New Roman" w:cs="Times New Roman"/>
          <w:kern w:val="0"/>
          <w:lang w:eastAsia="ru-RU" w:bidi="ar-SA"/>
        </w:rPr>
        <w:t>, инв. № 604001009096;</w:t>
      </w:r>
    </w:p>
    <w:p w14:paraId="1632E777" w14:textId="77777777" w:rsidR="00990E1B" w:rsidRPr="00990E1B" w:rsidRDefault="00990E1B" w:rsidP="00990E1B">
      <w:pPr>
        <w:suppressAutoHyphens w:val="0"/>
        <w:jc w:val="both"/>
        <w:rPr>
          <w:rFonts w:eastAsia="Times New Roman" w:cs="Times New Roman"/>
          <w:kern w:val="0"/>
          <w:lang w:eastAsia="ru-RU" w:bidi="ar-SA"/>
        </w:rPr>
      </w:pPr>
      <w:r w:rsidRPr="00990E1B">
        <w:rPr>
          <w:rFonts w:eastAsia="Times New Roman" w:cs="Times New Roman"/>
          <w:kern w:val="0"/>
          <w:lang w:eastAsia="ru-RU" w:bidi="ar-SA"/>
        </w:rPr>
        <w:t>- Тепловая завеса тропик М-9, инв. № 610540000369008;</w:t>
      </w:r>
    </w:p>
    <w:p w14:paraId="39E67834" w14:textId="77777777" w:rsidR="00990E1B" w:rsidRPr="00990E1B" w:rsidRDefault="00990E1B" w:rsidP="00990E1B">
      <w:pPr>
        <w:suppressAutoHyphens w:val="0"/>
        <w:jc w:val="both"/>
        <w:rPr>
          <w:rFonts w:eastAsia="Times New Roman" w:cs="Times New Roman"/>
          <w:kern w:val="0"/>
          <w:lang w:eastAsia="ru-RU" w:bidi="ar-SA"/>
        </w:rPr>
      </w:pPr>
      <w:r w:rsidRPr="00990E1B">
        <w:rPr>
          <w:rFonts w:eastAsia="Times New Roman" w:cs="Times New Roman"/>
          <w:kern w:val="0"/>
          <w:lang w:eastAsia="ru-RU" w:bidi="ar-SA"/>
        </w:rPr>
        <w:t xml:space="preserve">- Кассета </w:t>
      </w:r>
      <w:r w:rsidRPr="00990E1B">
        <w:rPr>
          <w:rFonts w:eastAsia="Times New Roman" w:cs="Times New Roman"/>
          <w:kern w:val="0"/>
          <w:lang w:val="en-US" w:eastAsia="ru-RU" w:bidi="ar-SA"/>
        </w:rPr>
        <w:t>KENTATSU</w:t>
      </w:r>
      <w:r w:rsidRPr="00990E1B">
        <w:rPr>
          <w:rFonts w:eastAsia="Times New Roman" w:cs="Times New Roman"/>
          <w:kern w:val="0"/>
          <w:lang w:eastAsia="ru-RU" w:bidi="ar-SA"/>
        </w:rPr>
        <w:t>, инв. № 604001009095;</w:t>
      </w:r>
    </w:p>
    <w:p w14:paraId="599E30AA" w14:textId="77777777" w:rsidR="00990E1B" w:rsidRPr="00990E1B" w:rsidRDefault="00990E1B" w:rsidP="00990E1B">
      <w:pPr>
        <w:suppressAutoHyphens w:val="0"/>
        <w:jc w:val="both"/>
        <w:rPr>
          <w:rFonts w:eastAsia="Times New Roman" w:cs="Times New Roman"/>
          <w:kern w:val="0"/>
          <w:lang w:eastAsia="ru-RU" w:bidi="ar-SA"/>
        </w:rPr>
      </w:pPr>
      <w:r w:rsidRPr="00990E1B">
        <w:rPr>
          <w:rFonts w:eastAsia="Times New Roman" w:cs="Times New Roman"/>
          <w:kern w:val="0"/>
          <w:lang w:eastAsia="ru-RU" w:bidi="ar-SA"/>
        </w:rPr>
        <w:t xml:space="preserve">- Тепловая завеса </w:t>
      </w:r>
      <w:r w:rsidRPr="00990E1B">
        <w:rPr>
          <w:rFonts w:eastAsia="Times New Roman" w:cs="Times New Roman"/>
          <w:kern w:val="0"/>
          <w:lang w:val="en-US" w:eastAsia="ru-RU" w:bidi="ar-SA"/>
        </w:rPr>
        <w:t>FRICO</w:t>
      </w:r>
      <w:r w:rsidRPr="00990E1B">
        <w:rPr>
          <w:rFonts w:eastAsia="Times New Roman" w:cs="Times New Roman"/>
          <w:kern w:val="0"/>
          <w:lang w:eastAsia="ru-RU" w:bidi="ar-SA"/>
        </w:rPr>
        <w:t xml:space="preserve"> </w:t>
      </w:r>
      <w:r w:rsidRPr="00990E1B">
        <w:rPr>
          <w:rFonts w:eastAsia="Times New Roman" w:cs="Times New Roman"/>
          <w:kern w:val="0"/>
          <w:lang w:val="en-US" w:eastAsia="ru-RU" w:bidi="ar-SA"/>
        </w:rPr>
        <w:t>AC</w:t>
      </w:r>
      <w:r w:rsidRPr="00990E1B">
        <w:rPr>
          <w:rFonts w:eastAsia="Times New Roman" w:cs="Times New Roman"/>
          <w:kern w:val="0"/>
          <w:lang w:eastAsia="ru-RU" w:bidi="ar-SA"/>
        </w:rPr>
        <w:t>206, инв. №</w:t>
      </w:r>
      <w:r w:rsidRPr="00990E1B">
        <w:rPr>
          <w:rFonts w:ascii="TimesNewRoman" w:eastAsia="TimesNewRoman" w:hAnsi="Calibri" w:cs="TimesNewRoman"/>
          <w:kern w:val="0"/>
          <w:lang w:eastAsia="en-US" w:bidi="ar-SA"/>
        </w:rPr>
        <w:t xml:space="preserve"> </w:t>
      </w:r>
      <w:r w:rsidRPr="00990E1B">
        <w:rPr>
          <w:rFonts w:eastAsia="Times New Roman" w:cs="Times New Roman"/>
          <w:kern w:val="0"/>
          <w:lang w:eastAsia="ru-RU" w:bidi="ar-SA"/>
        </w:rPr>
        <w:t>604009176067;</w:t>
      </w:r>
    </w:p>
    <w:p w14:paraId="24BDD86E" w14:textId="71378288" w:rsidR="00990E1B" w:rsidRPr="00990E1B" w:rsidRDefault="00990E1B" w:rsidP="00990E1B">
      <w:pPr>
        <w:suppressAutoHyphens w:val="0"/>
        <w:jc w:val="both"/>
        <w:rPr>
          <w:rFonts w:eastAsia="Times New Roman" w:cs="Times New Roman"/>
          <w:kern w:val="0"/>
          <w:lang w:eastAsia="ru-RU" w:bidi="ar-SA"/>
        </w:rPr>
      </w:pPr>
      <w:r w:rsidRPr="00990E1B">
        <w:rPr>
          <w:rFonts w:eastAsia="Times New Roman" w:cs="Times New Roman"/>
          <w:kern w:val="0"/>
          <w:lang w:eastAsia="ru-RU" w:bidi="ar-SA"/>
        </w:rPr>
        <w:t>- Стенд для демон</w:t>
      </w:r>
      <w:r w:rsidR="00C6589B">
        <w:rPr>
          <w:rFonts w:eastAsia="Times New Roman" w:cs="Times New Roman"/>
          <w:kern w:val="0"/>
          <w:lang w:eastAsia="ru-RU" w:bidi="ar-SA"/>
        </w:rPr>
        <w:t>с</w:t>
      </w:r>
      <w:r w:rsidRPr="00990E1B">
        <w:rPr>
          <w:rFonts w:eastAsia="Times New Roman" w:cs="Times New Roman"/>
          <w:kern w:val="0"/>
          <w:lang w:eastAsia="ru-RU" w:bidi="ar-SA"/>
        </w:rPr>
        <w:t>трации монет и слитков из драг.мет., инв. №</w:t>
      </w:r>
      <w:r w:rsidRPr="00990E1B">
        <w:rPr>
          <w:rFonts w:ascii="TimesNewRoman" w:eastAsia="TimesNewRoman" w:hAnsi="Calibri" w:cs="TimesNewRoman"/>
          <w:kern w:val="0"/>
          <w:lang w:eastAsia="en-US" w:bidi="ar-SA"/>
        </w:rPr>
        <w:t xml:space="preserve"> </w:t>
      </w:r>
      <w:r w:rsidRPr="00990E1B">
        <w:rPr>
          <w:rFonts w:eastAsia="Times New Roman" w:cs="Times New Roman"/>
          <w:kern w:val="0"/>
          <w:lang w:eastAsia="ru-RU" w:bidi="ar-SA"/>
        </w:rPr>
        <w:t>604001009051;</w:t>
      </w:r>
    </w:p>
    <w:p w14:paraId="2224B24E" w14:textId="77777777" w:rsidR="00990E1B" w:rsidRPr="00990E1B" w:rsidRDefault="00990E1B" w:rsidP="00990E1B">
      <w:pPr>
        <w:suppressAutoHyphens w:val="0"/>
        <w:jc w:val="both"/>
        <w:rPr>
          <w:rFonts w:eastAsia="Times New Roman" w:cs="Times New Roman"/>
          <w:kern w:val="0"/>
          <w:lang w:eastAsia="ru-RU" w:bidi="ar-SA"/>
        </w:rPr>
      </w:pPr>
      <w:r w:rsidRPr="00990E1B">
        <w:rPr>
          <w:rFonts w:eastAsia="Times New Roman" w:cs="Times New Roman"/>
          <w:kern w:val="0"/>
          <w:lang w:eastAsia="ru-RU" w:bidi="ar-SA"/>
        </w:rPr>
        <w:t xml:space="preserve">- Кассета </w:t>
      </w:r>
      <w:r w:rsidRPr="00990E1B">
        <w:rPr>
          <w:rFonts w:eastAsia="Times New Roman" w:cs="Times New Roman"/>
          <w:kern w:val="0"/>
          <w:lang w:val="en-US" w:eastAsia="ru-RU" w:bidi="ar-SA"/>
        </w:rPr>
        <w:t>KENTATSU</w:t>
      </w:r>
      <w:r w:rsidRPr="00990E1B">
        <w:rPr>
          <w:rFonts w:eastAsia="Times New Roman" w:cs="Times New Roman"/>
          <w:kern w:val="0"/>
          <w:lang w:eastAsia="ru-RU" w:bidi="ar-SA"/>
        </w:rPr>
        <w:t>, инв. № 604001009064;</w:t>
      </w:r>
    </w:p>
    <w:p w14:paraId="040CAEBA" w14:textId="1A359FDA" w:rsidR="003F5EDF" w:rsidRDefault="00990E1B" w:rsidP="00990E1B">
      <w:pPr>
        <w:rPr>
          <w:rFonts w:eastAsia="Times New Roman" w:cs="Times New Roman"/>
          <w:kern w:val="0"/>
          <w:lang w:eastAsia="ru-RU" w:bidi="ar-SA"/>
        </w:rPr>
      </w:pPr>
      <w:r w:rsidRPr="00990E1B">
        <w:rPr>
          <w:rFonts w:eastAsia="Times New Roman" w:cs="Times New Roman"/>
          <w:kern w:val="0"/>
          <w:lang w:eastAsia="ru-RU" w:bidi="ar-SA"/>
        </w:rPr>
        <w:t xml:space="preserve">- </w:t>
      </w:r>
      <w:r w:rsidRPr="00990E1B">
        <w:rPr>
          <w:rFonts w:eastAsia="Times New Roman" w:cs="Times New Roman" w:hint="eastAsia"/>
          <w:kern w:val="0"/>
          <w:lang w:eastAsia="ru-RU" w:bidi="ar-SA"/>
        </w:rPr>
        <w:t xml:space="preserve">Сплит-система </w:t>
      </w:r>
      <w:r w:rsidRPr="00990E1B">
        <w:rPr>
          <w:rFonts w:eastAsia="Times New Roman" w:cs="Times New Roman"/>
          <w:kern w:val="0"/>
          <w:lang w:val="en-US" w:eastAsia="ru-RU" w:bidi="ar-SA"/>
        </w:rPr>
        <w:t>MDSF</w:t>
      </w:r>
      <w:r w:rsidRPr="00990E1B">
        <w:rPr>
          <w:rFonts w:eastAsia="Times New Roman" w:cs="Times New Roman"/>
          <w:kern w:val="0"/>
          <w:lang w:eastAsia="ru-RU" w:bidi="ar-SA"/>
        </w:rPr>
        <w:t>-09</w:t>
      </w:r>
      <w:r w:rsidRPr="00990E1B">
        <w:rPr>
          <w:rFonts w:eastAsia="Times New Roman" w:cs="Times New Roman"/>
          <w:kern w:val="0"/>
          <w:lang w:val="en-US" w:eastAsia="ru-RU" w:bidi="ar-SA"/>
        </w:rPr>
        <w:t>HRN</w:t>
      </w:r>
      <w:r w:rsidRPr="00990E1B">
        <w:rPr>
          <w:rFonts w:eastAsia="Times New Roman" w:cs="Times New Roman"/>
          <w:kern w:val="0"/>
          <w:lang w:eastAsia="ru-RU" w:bidi="ar-SA"/>
        </w:rPr>
        <w:t>1-</w:t>
      </w:r>
      <w:r w:rsidRPr="00990E1B">
        <w:rPr>
          <w:rFonts w:eastAsia="Times New Roman" w:cs="Times New Roman"/>
          <w:kern w:val="0"/>
          <w:lang w:val="en-US" w:eastAsia="ru-RU" w:bidi="ar-SA"/>
        </w:rPr>
        <w:t>v</w:t>
      </w:r>
      <w:r w:rsidRPr="00990E1B">
        <w:rPr>
          <w:rFonts w:eastAsia="Times New Roman" w:cs="Times New Roman"/>
          <w:kern w:val="0"/>
          <w:lang w:eastAsia="ru-RU" w:bidi="ar-SA"/>
        </w:rPr>
        <w:t>/</w:t>
      </w:r>
      <w:r w:rsidRPr="00990E1B">
        <w:rPr>
          <w:rFonts w:eastAsia="Times New Roman" w:cs="Times New Roman"/>
          <w:kern w:val="0"/>
          <w:lang w:val="en-US" w:eastAsia="ru-RU" w:bidi="ar-SA"/>
        </w:rPr>
        <w:t>MDOF</w:t>
      </w:r>
      <w:r w:rsidRPr="00990E1B">
        <w:rPr>
          <w:rFonts w:eastAsia="Times New Roman" w:cs="Times New Roman"/>
          <w:kern w:val="0"/>
          <w:lang w:eastAsia="ru-RU" w:bidi="ar-SA"/>
        </w:rPr>
        <w:t>-09</w:t>
      </w:r>
      <w:r w:rsidRPr="00990E1B">
        <w:rPr>
          <w:rFonts w:eastAsia="Times New Roman" w:cs="Times New Roman"/>
          <w:kern w:val="0"/>
          <w:lang w:val="en-US" w:eastAsia="ru-RU" w:bidi="ar-SA"/>
        </w:rPr>
        <w:t>HN</w:t>
      </w:r>
      <w:r w:rsidRPr="00990E1B">
        <w:rPr>
          <w:rFonts w:eastAsia="Times New Roman" w:cs="Times New Roman"/>
          <w:kern w:val="0"/>
          <w:lang w:eastAsia="ru-RU" w:bidi="ar-SA"/>
        </w:rPr>
        <w:t>1-</w:t>
      </w:r>
      <w:r w:rsidRPr="00990E1B">
        <w:rPr>
          <w:rFonts w:eastAsia="Times New Roman" w:cs="Times New Roman"/>
          <w:kern w:val="0"/>
          <w:lang w:val="en-US" w:eastAsia="ru-RU" w:bidi="ar-SA"/>
        </w:rPr>
        <w:t>V</w:t>
      </w:r>
      <w:r w:rsidRPr="00990E1B">
        <w:rPr>
          <w:rFonts w:eastAsia="Times New Roman" w:cs="Times New Roman"/>
          <w:kern w:val="0"/>
          <w:lang w:eastAsia="ru-RU" w:bidi="ar-SA"/>
        </w:rPr>
        <w:t>, инв. №</w:t>
      </w:r>
      <w:r w:rsidRPr="00990E1B">
        <w:rPr>
          <w:rFonts w:ascii="TimesNewRoman" w:eastAsia="TimesNewRoman" w:hAnsi="Calibri" w:cs="TimesNewRoman"/>
          <w:kern w:val="0"/>
          <w:lang w:eastAsia="en-US" w:bidi="ar-SA"/>
        </w:rPr>
        <w:t xml:space="preserve"> </w:t>
      </w:r>
      <w:r w:rsidRPr="00990E1B">
        <w:rPr>
          <w:rFonts w:eastAsia="Times New Roman" w:cs="Times New Roman"/>
          <w:kern w:val="0"/>
          <w:lang w:eastAsia="ru-RU" w:bidi="ar-SA"/>
        </w:rPr>
        <w:t>604540000205617</w:t>
      </w:r>
    </w:p>
    <w:p w14:paraId="164228CB" w14:textId="77777777" w:rsidR="00990E1B" w:rsidRDefault="00990E1B" w:rsidP="00990E1B">
      <w:pPr>
        <w:jc w:val="center"/>
        <w:rPr>
          <w:b/>
          <w:bCs/>
          <w:kern w:val="2"/>
        </w:rPr>
      </w:pPr>
    </w:p>
    <w:p w14:paraId="7597D0B0" w14:textId="356B2B27" w:rsidR="003F5EDF" w:rsidRPr="006C63EE" w:rsidRDefault="003F5EDF" w:rsidP="003F5EDF">
      <w:pPr>
        <w:jc w:val="center"/>
        <w:rPr>
          <w:b/>
          <w:bCs/>
          <w:kern w:val="2"/>
        </w:rPr>
      </w:pPr>
      <w:r w:rsidRPr="006C63EE">
        <w:rPr>
          <w:b/>
          <w:bCs/>
          <w:kern w:val="2"/>
        </w:rPr>
        <w:t xml:space="preserve">Начальная цена Лота №1 – </w:t>
      </w:r>
      <w:r w:rsidR="00AC2C1A" w:rsidRPr="00AC2C1A">
        <w:rPr>
          <w:b/>
          <w:bCs/>
          <w:kern w:val="2"/>
        </w:rPr>
        <w:t xml:space="preserve">5 744 800 </w:t>
      </w:r>
      <w:r w:rsidRPr="006C63EE">
        <w:rPr>
          <w:b/>
          <w:bCs/>
          <w:kern w:val="2"/>
        </w:rPr>
        <w:t>руб., с учетом НДС</w:t>
      </w:r>
      <w:r w:rsidR="00990E1B">
        <w:rPr>
          <w:b/>
          <w:bCs/>
          <w:kern w:val="2"/>
        </w:rPr>
        <w:t xml:space="preserve"> 20%.</w:t>
      </w:r>
    </w:p>
    <w:p w14:paraId="58CDBC10" w14:textId="04CF91A9" w:rsidR="00EC00CA" w:rsidRPr="00524E6B" w:rsidRDefault="00EC00CA" w:rsidP="00EC00CA">
      <w:pPr>
        <w:jc w:val="center"/>
        <w:rPr>
          <w:b/>
          <w:bCs/>
          <w:kern w:val="2"/>
        </w:rPr>
      </w:pPr>
      <w:r w:rsidRPr="00524E6B">
        <w:rPr>
          <w:b/>
          <w:bCs/>
          <w:kern w:val="2"/>
        </w:rPr>
        <w:t xml:space="preserve">Сумма задатка – </w:t>
      </w:r>
      <w:r w:rsidR="00AC2C1A" w:rsidRPr="00AC2C1A">
        <w:rPr>
          <w:b/>
          <w:bCs/>
          <w:kern w:val="2"/>
        </w:rPr>
        <w:t xml:space="preserve">574 480 </w:t>
      </w:r>
      <w:r w:rsidRPr="00524E6B">
        <w:rPr>
          <w:b/>
          <w:bCs/>
          <w:kern w:val="2"/>
        </w:rPr>
        <w:t xml:space="preserve">руб. </w:t>
      </w:r>
    </w:p>
    <w:p w14:paraId="176C342A" w14:textId="104AB20B" w:rsidR="00EC00CA" w:rsidRDefault="00EC00CA" w:rsidP="00EC00CA">
      <w:pPr>
        <w:jc w:val="center"/>
        <w:rPr>
          <w:rFonts w:cs="Times New Roman"/>
          <w:b/>
          <w:bCs/>
          <w:kern w:val="2"/>
        </w:rPr>
      </w:pPr>
      <w:r w:rsidRPr="00524E6B">
        <w:rPr>
          <w:b/>
          <w:kern w:val="2"/>
        </w:rPr>
        <w:t>Шаг аукциона</w:t>
      </w:r>
      <w:r>
        <w:rPr>
          <w:b/>
          <w:kern w:val="2"/>
        </w:rPr>
        <w:t xml:space="preserve"> </w:t>
      </w:r>
      <w:r w:rsidRPr="00524E6B">
        <w:rPr>
          <w:b/>
          <w:kern w:val="2"/>
        </w:rPr>
        <w:t xml:space="preserve">– </w:t>
      </w:r>
      <w:r w:rsidR="00AC2C1A" w:rsidRPr="00AC2C1A">
        <w:rPr>
          <w:rFonts w:cs="Times New Roman"/>
          <w:b/>
          <w:bCs/>
          <w:kern w:val="2"/>
        </w:rPr>
        <w:t xml:space="preserve">287 240 </w:t>
      </w:r>
      <w:r w:rsidRPr="00524E6B">
        <w:rPr>
          <w:rFonts w:cs="Times New Roman"/>
          <w:b/>
          <w:bCs/>
          <w:kern w:val="2"/>
        </w:rPr>
        <w:t xml:space="preserve">руб. </w:t>
      </w:r>
    </w:p>
    <w:p w14:paraId="2D1A0042" w14:textId="77777777" w:rsidR="00EC00CA" w:rsidRDefault="00EC00CA" w:rsidP="00EC00CA">
      <w:pPr>
        <w:jc w:val="center"/>
        <w:rPr>
          <w:rFonts w:cs="Times New Roman"/>
          <w:b/>
          <w:bCs/>
          <w:kern w:val="2"/>
        </w:rPr>
      </w:pPr>
    </w:p>
    <w:p w14:paraId="5988A503" w14:textId="77777777"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524E6B" w:rsidRDefault="00EC00CA" w:rsidP="00EC00CA">
      <w:pPr>
        <w:jc w:val="center"/>
        <w:rPr>
          <w:b/>
          <w:bCs/>
          <w:kern w:val="2"/>
        </w:rPr>
      </w:pPr>
    </w:p>
    <w:p w14:paraId="03599C78" w14:textId="6C0A5ED1" w:rsidR="003F5EDF" w:rsidRDefault="003F5EDF" w:rsidP="003F5EDF">
      <w:pPr>
        <w:ind w:right="-57" w:firstLine="708"/>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w:t>
      </w:r>
      <w:r w:rsidR="00990E1B">
        <w:rPr>
          <w:color w:val="000000"/>
          <w:kern w:val="2"/>
          <w:shd w:val="clear" w:color="auto" w:fill="FFFFFF"/>
        </w:rPr>
        <w:t>е</w:t>
      </w:r>
      <w:r>
        <w:rPr>
          <w:color w:val="000000"/>
          <w:kern w:val="2"/>
          <w:shd w:val="clear" w:color="auto" w:fill="FFFFFF"/>
        </w:rPr>
        <w:t>тся предметом судебного разбирательства, не нахо</w:t>
      </w:r>
      <w:r w:rsidR="00990E1B">
        <w:rPr>
          <w:color w:val="000000"/>
          <w:kern w:val="2"/>
          <w:shd w:val="clear" w:color="auto" w:fill="FFFFFF"/>
        </w:rPr>
        <w:t>ди</w:t>
      </w:r>
      <w:r>
        <w:rPr>
          <w:color w:val="000000"/>
          <w:kern w:val="2"/>
          <w:shd w:val="clear" w:color="auto" w:fill="FFFFFF"/>
        </w:rPr>
        <w:t>тся под арестом (запрещением), не обременен иными правами третьих лиц</w:t>
      </w:r>
      <w:r w:rsidR="00990E1B">
        <w:rPr>
          <w:color w:val="000000"/>
          <w:kern w:val="2"/>
          <w:shd w:val="clear" w:color="auto" w:fill="FFFFFF"/>
        </w:rPr>
        <w:t>.</w:t>
      </w:r>
    </w:p>
    <w:p w14:paraId="149E7C75" w14:textId="7D4DFA22" w:rsidR="00091BFE" w:rsidRPr="003F5EDF" w:rsidRDefault="00091BFE" w:rsidP="00091BFE">
      <w:pPr>
        <w:widowControl/>
        <w:suppressAutoHyphens w:val="0"/>
        <w:ind w:right="-57"/>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1"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1"/>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w:t>
      </w:r>
      <w:r w:rsidRPr="006979D5">
        <w:rPr>
          <w:rFonts w:eastAsia="Times New Roman" w:cs="Times New Roman"/>
          <w:kern w:val="0"/>
          <w:lang w:eastAsia="ru-RU" w:bidi="ar-SA"/>
        </w:rPr>
        <w:lastRenderedPageBreak/>
        <w:t>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2"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3"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3"/>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01871B98"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EA0754">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2"/>
    <w:bookmarkEnd w:id="4"/>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w:t>
      </w:r>
      <w:r w:rsidRPr="006979D5">
        <w:rPr>
          <w:rFonts w:eastAsia="Times New Roman" w:cs="Times New Roman"/>
          <w:kern w:val="0"/>
          <w:lang w:eastAsia="ru-RU" w:bidi="ar-SA"/>
        </w:rPr>
        <w:lastRenderedPageBreak/>
        <w:t xml:space="preserve">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 xml:space="preserve">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w:t>
      </w:r>
      <w:r w:rsidRPr="006979D5">
        <w:rPr>
          <w:rFonts w:eastAsia="Times New Roman" w:cs="Times New Roman"/>
          <w:kern w:val="0"/>
          <w:lang w:eastAsia="ru-RU" w:bidi="ar-SA"/>
        </w:rPr>
        <w:lastRenderedPageBreak/>
        <w:t>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Default="006E4594" w:rsidP="00D93F46">
      <w:pPr>
        <w:ind w:firstLine="709"/>
        <w:jc w:val="center"/>
        <w:rPr>
          <w:rFonts w:eastAsia="Times New Roman" w:cs="Times New Roman"/>
          <w:b/>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10132897"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77777777"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5"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5"/>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г. Ульяновск, ул. Андрея Блаженного, д. 15, тел. 8 (927) 819-98-29 Катайкина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039B0459"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EA0754">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4CF6A34" w14:textId="77777777"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w:t>
      </w:r>
      <w:r w:rsidRPr="006A29D9">
        <w:rPr>
          <w:rFonts w:eastAsia="Times New Roman" w:cs="Times New Roman"/>
          <w:b/>
          <w:bCs/>
          <w:lang w:eastAsia="ru-RU"/>
        </w:rPr>
        <w:lastRenderedPageBreak/>
        <w:t xml:space="preserve">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6"/>
    <w:p w14:paraId="142A2EFA" w14:textId="77777777"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7" w:name="_Hlk108377771"/>
      <w:r w:rsidRPr="008E083D">
        <w:rPr>
          <w:rFonts w:eastAsia="Times New Roman" w:cs="Times New Roman"/>
          <w:bCs/>
          <w:lang w:eastAsia="ru-RU"/>
        </w:rPr>
        <w:t>в течение 10 (десяти) рабочих дней с даты подписания договора купли-продажи в соответствии с условиями, определенными договором купли-продажи</w:t>
      </w:r>
      <w:bookmarkEnd w:id="7"/>
      <w:r w:rsidRPr="008E083D">
        <w:rPr>
          <w:rFonts w:eastAsia="Times New Roman" w:cs="Times New Roman"/>
          <w:bCs/>
          <w:lang w:eastAsia="ru-RU"/>
        </w:rPr>
        <w:t>, размещенным на сайте www.lot-online.ru в разделе «карточка лота».</w:t>
      </w:r>
    </w:p>
    <w:p w14:paraId="3158D761" w14:textId="2FED0D69"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Pr="008D0F5F">
        <w:t xml:space="preserve"> Продавец передает Объект Покупателю по акту приема-передачи.</w:t>
      </w:r>
    </w:p>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2"/>
  </w:num>
  <w:num w:numId="9" w16cid:durableId="1474832394">
    <w:abstractNumId w:val="4"/>
  </w:num>
  <w:num w:numId="10" w16cid:durableId="1403211145">
    <w:abstractNumId w:val="10"/>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14CC5"/>
    <w:rsid w:val="00326AC5"/>
    <w:rsid w:val="003306CD"/>
    <w:rsid w:val="0034116F"/>
    <w:rsid w:val="003469C2"/>
    <w:rsid w:val="00346B6A"/>
    <w:rsid w:val="00362359"/>
    <w:rsid w:val="00367865"/>
    <w:rsid w:val="003709E6"/>
    <w:rsid w:val="003746D4"/>
    <w:rsid w:val="003A0017"/>
    <w:rsid w:val="003B1D4C"/>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0180"/>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AB8"/>
    <w:rsid w:val="00AA7B0D"/>
    <w:rsid w:val="00AB0B80"/>
    <w:rsid w:val="00AB3EBA"/>
    <w:rsid w:val="00AB527C"/>
    <w:rsid w:val="00AB5899"/>
    <w:rsid w:val="00AC2C1A"/>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7944"/>
    <w:rsid w:val="00D93EBC"/>
    <w:rsid w:val="00D93F46"/>
    <w:rsid w:val="00D95948"/>
    <w:rsid w:val="00DA4738"/>
    <w:rsid w:val="00DB6FA3"/>
    <w:rsid w:val="00DC14CF"/>
    <w:rsid w:val="00DC1BB9"/>
    <w:rsid w:val="00DC275E"/>
    <w:rsid w:val="00DC4A62"/>
    <w:rsid w:val="00DC69F9"/>
    <w:rsid w:val="00DD2660"/>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4ECB"/>
    <w:rsid w:val="00E90FC8"/>
    <w:rsid w:val="00E971EE"/>
    <w:rsid w:val="00E975D2"/>
    <w:rsid w:val="00EA0754"/>
    <w:rsid w:val="00EB059A"/>
    <w:rsid w:val="00EB355D"/>
    <w:rsid w:val="00EC00CA"/>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4938</Words>
  <Characters>28151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cp:lastPrinted>2022-06-30T19:29:00Z</cp:lastPrinted>
  <dcterms:created xsi:type="dcterms:W3CDTF">2023-03-14T10:46:00Z</dcterms:created>
  <dcterms:modified xsi:type="dcterms:W3CDTF">2023-03-14T10:47:00Z</dcterms:modified>
</cp:coreProperties>
</file>