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8A89" w14:textId="7F0B2F46" w:rsidR="00DE3270" w:rsidRPr="00DE3270" w:rsidRDefault="00854DC7" w:rsidP="00567729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«Примсоцбанк»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DE3270" w:rsidRPr="00DE3270">
        <w:rPr>
          <w:b/>
          <w:bCs/>
        </w:rPr>
        <w:t>Пак Григори</w:t>
      </w:r>
      <w:r w:rsidR="00DE3270">
        <w:rPr>
          <w:b/>
          <w:bCs/>
        </w:rPr>
        <w:t>я</w:t>
      </w:r>
      <w:r w:rsidR="00DE3270" w:rsidRPr="00DE3270">
        <w:rPr>
          <w:b/>
          <w:bCs/>
        </w:rPr>
        <w:t xml:space="preserve"> Антонович</w:t>
      </w:r>
      <w:r w:rsidR="00DE3270">
        <w:rPr>
          <w:b/>
          <w:bCs/>
        </w:rPr>
        <w:t>а</w:t>
      </w:r>
      <w:r w:rsidR="00DE3270" w:rsidRPr="00DE3270">
        <w:rPr>
          <w:b/>
          <w:bCs/>
        </w:rPr>
        <w:t xml:space="preserve"> </w:t>
      </w:r>
      <w:r w:rsidR="00DE3270" w:rsidRPr="00DE3270">
        <w:t xml:space="preserve">06.05.1947 г.р., ИНН 250800882711, СНИЛС 138-459-812 00, именуемый в дальнейшем «Доверитель», «Должник», в лице финансового управляющего </w:t>
      </w:r>
      <w:r w:rsidR="00694236">
        <w:t xml:space="preserve">Лысенко (ранее </w:t>
      </w:r>
      <w:r w:rsidR="00DE3270" w:rsidRPr="00DE3270">
        <w:t>Осипов</w:t>
      </w:r>
      <w:r w:rsidR="00694236">
        <w:t>а)</w:t>
      </w:r>
      <w:r w:rsidR="00DE3270" w:rsidRPr="00DE3270">
        <w:t xml:space="preserve"> Валерии Викторовны (ИНН 250107972503, СНИЛС 188-350-700 92), адрес для корреспонденции</w:t>
      </w:r>
      <w:r w:rsidR="003A7F9F">
        <w:t>:</w:t>
      </w:r>
      <w:r w:rsidR="00DE3270" w:rsidRPr="00DE3270">
        <w:t xml:space="preserve"> 197110, г. Санкт-Петербург, а/я 170, e-mail: arbitr.osipova@gmail.com, тел. 8-914-159-44-94 - член Ассоциации "ДМСО" (ОГРН 1032700295099, ИНН 2721099166, адрес: 680020, Хабаровский край, г. Хабаровск, пер. Доступный, д. 13, оф. 6), действующего в соответствии с Решением Арбитражного суда Приморского края от 24.10.2022 г. по делу № А51-13542/2021</w:t>
      </w:r>
      <w:r w:rsidR="00DE3270">
        <w:t>.</w:t>
      </w:r>
    </w:p>
    <w:p w14:paraId="55F926A0" w14:textId="77777777" w:rsidR="00DE3270" w:rsidRDefault="00DE3270" w:rsidP="00567729">
      <w:pPr>
        <w:jc w:val="both"/>
        <w:outlineLvl w:val="0"/>
        <w:rPr>
          <w:b/>
          <w:bCs/>
        </w:rPr>
      </w:pPr>
    </w:p>
    <w:p w14:paraId="25C17490" w14:textId="77777777" w:rsidR="004E45E2" w:rsidRDefault="004E45E2" w:rsidP="00567729">
      <w:pPr>
        <w:jc w:val="both"/>
        <w:outlineLvl w:val="0"/>
        <w:rPr>
          <w:rFonts w:eastAsia="Times New Roman"/>
          <w:bCs/>
          <w:lang w:eastAsia="x-none"/>
        </w:rPr>
      </w:pPr>
    </w:p>
    <w:p w14:paraId="7F27F5E4" w14:textId="1B316301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3F276C">
        <w:rPr>
          <w:rFonts w:eastAsia="Times New Roman"/>
          <w:b/>
          <w:bCs/>
          <w:color w:val="0070C0"/>
        </w:rPr>
        <w:t>26 апреля</w:t>
      </w:r>
      <w:r w:rsidR="00FE787C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3E5D2A">
        <w:rPr>
          <w:rFonts w:eastAsia="Times New Roman"/>
          <w:b/>
          <w:bCs/>
          <w:color w:val="0070C0"/>
        </w:rPr>
        <w:t>3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FE787C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7C7064A8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3F276C">
        <w:rPr>
          <w:b/>
          <w:bCs/>
          <w:color w:val="0070C0"/>
        </w:rPr>
        <w:t>17 марта</w:t>
      </w:r>
      <w:r w:rsidR="00FE787C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3F3DFA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3F276C">
        <w:rPr>
          <w:b/>
          <w:bCs/>
          <w:color w:val="0070C0"/>
        </w:rPr>
        <w:t>21 апреля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FE787C">
        <w:rPr>
          <w:b/>
          <w:bCs/>
          <w:color w:val="0070C0"/>
        </w:rPr>
        <w:t>8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71E7C12E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</w:t>
      </w:r>
      <w:r w:rsidR="00185C8B">
        <w:rPr>
          <w:b/>
          <w:bCs/>
        </w:rPr>
        <w:t xml:space="preserve"> </w:t>
      </w:r>
      <w:r w:rsidR="004E45E2">
        <w:rPr>
          <w:b/>
          <w:bCs/>
        </w:rPr>
        <w:t>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Pr="00D235CB">
        <w:rPr>
          <w:b/>
          <w:bCs/>
          <w:color w:val="0070C0"/>
        </w:rPr>
        <w:t>0</w:t>
      </w:r>
      <w:r w:rsidR="00FE787C">
        <w:rPr>
          <w:b/>
          <w:bCs/>
          <w:color w:val="0070C0"/>
        </w:rPr>
        <w:t>8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bookmarkStart w:id="0" w:name="_Hlk77174612"/>
      <w:r w:rsidR="003F276C">
        <w:rPr>
          <w:b/>
          <w:bCs/>
          <w:color w:val="0070C0"/>
        </w:rPr>
        <w:t>21 апреля</w:t>
      </w:r>
      <w:r w:rsidR="003E5D2A" w:rsidRPr="003E5D2A">
        <w:rPr>
          <w:b/>
          <w:bCs/>
          <w:color w:val="0070C0"/>
        </w:rPr>
        <w:t xml:space="preserve"> 2023</w:t>
      </w:r>
      <w:bookmarkEnd w:id="0"/>
      <w:r w:rsidRPr="00A40D10">
        <w:rPr>
          <w:b/>
          <w:bCs/>
        </w:rPr>
        <w:t xml:space="preserve"> 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5088D76E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3F3DFA" w:rsidRPr="003F3DFA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3F276C">
        <w:rPr>
          <w:b/>
          <w:bCs/>
          <w:color w:val="0070C0"/>
        </w:rPr>
        <w:t>24 апреля</w:t>
      </w:r>
      <w:r w:rsidR="00282C22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53996383" w14:textId="797CB8AA" w:rsidR="000338C8" w:rsidRPr="00851318" w:rsidRDefault="00DE3270" w:rsidP="000338C8">
      <w:pPr>
        <w:ind w:firstLine="567"/>
        <w:jc w:val="both"/>
        <w:rPr>
          <w:rFonts w:eastAsia="Times New Roman"/>
          <w:color w:val="FF0000"/>
        </w:rPr>
      </w:pPr>
      <w:r w:rsidRPr="00DE3270">
        <w:rPr>
          <w:rFonts w:eastAsia="Times New Roman"/>
        </w:rPr>
        <w:t>Ознакомление с предметом торгов осуществляется в рабочие дни по контактным данным, 8 (812) 777-57-57, доб. 516, 8 (924) 003-13-12. Контактное лицо Генералова Елена.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dv@auction-house.ru</w:t>
      </w:r>
      <w:r w:rsidRPr="00851318">
        <w:rPr>
          <w:rFonts w:eastAsia="Times New Roman"/>
        </w:rPr>
        <w:t xml:space="preserve">. Контактное лицо по осмотру </w:t>
      </w:r>
      <w:r w:rsidR="00851318" w:rsidRPr="00851318">
        <w:rPr>
          <w:rFonts w:eastAsia="Times New Roman"/>
        </w:rPr>
        <w:t>Валерия Викторовна</w:t>
      </w:r>
      <w:r w:rsidRPr="00851318">
        <w:rPr>
          <w:rFonts w:eastAsia="Times New Roman"/>
        </w:rPr>
        <w:t xml:space="preserve"> </w:t>
      </w:r>
      <w:r w:rsidRPr="00091393">
        <w:rPr>
          <w:rFonts w:eastAsia="Times New Roman"/>
        </w:rPr>
        <w:t>+7-</w:t>
      </w:r>
      <w:r w:rsidR="00851318" w:rsidRPr="00091393">
        <w:t xml:space="preserve"> </w:t>
      </w:r>
      <w:r w:rsidR="00851318" w:rsidRPr="00091393">
        <w:rPr>
          <w:rFonts w:eastAsia="Times New Roman"/>
        </w:rPr>
        <w:t>914-159-44-94</w:t>
      </w:r>
      <w:r w:rsidRPr="00851318">
        <w:rPr>
          <w:rFonts w:eastAsia="Times New Roman"/>
        </w:rPr>
        <w:t>.</w:t>
      </w:r>
    </w:p>
    <w:p w14:paraId="25FA8B52" w14:textId="77777777" w:rsidR="00DE3270" w:rsidRDefault="00DE3270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65B5BD3E" w14:textId="0867AE02" w:rsidR="00851318" w:rsidRPr="00851318" w:rsidRDefault="00851318" w:rsidP="00851318">
      <w:pPr>
        <w:ind w:firstLine="709"/>
        <w:jc w:val="both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 xml:space="preserve">- </w:t>
      </w:r>
      <w:r w:rsidRPr="00851318">
        <w:rPr>
          <w:rFonts w:eastAsia="Times New Roman" w:cstheme="minorBidi"/>
          <w:b/>
          <w:bCs/>
          <w:lang w:eastAsia="en-US"/>
        </w:rPr>
        <w:t>Жилой дом</w:t>
      </w:r>
      <w:r w:rsidRPr="00851318">
        <w:rPr>
          <w:rFonts w:eastAsia="Times New Roman" w:cstheme="minorBidi"/>
          <w:lang w:eastAsia="en-US"/>
        </w:rPr>
        <w:t xml:space="preserve">, общей площадью </w:t>
      </w:r>
      <w:r w:rsidRPr="00851318">
        <w:rPr>
          <w:rFonts w:eastAsia="Times New Roman" w:cstheme="minorBidi"/>
          <w:b/>
          <w:bCs/>
          <w:lang w:eastAsia="en-US"/>
        </w:rPr>
        <w:t>422,00 кв. м</w:t>
      </w:r>
      <w:r w:rsidRPr="00851318">
        <w:rPr>
          <w:rFonts w:eastAsia="Times New Roman" w:cstheme="minorBidi"/>
          <w:lang w:eastAsia="en-US"/>
        </w:rPr>
        <w:t xml:space="preserve">., назначение: жилой дом, этажность: 3, кадастровый номер: 25:31:010402:3031, расположенный по адресу: </w:t>
      </w:r>
      <w:r w:rsidRPr="00851318">
        <w:rPr>
          <w:rFonts w:eastAsia="Times New Roman" w:cstheme="minorBidi"/>
          <w:b/>
          <w:bCs/>
          <w:lang w:eastAsia="en-US"/>
        </w:rPr>
        <w:t>Приморский край, г. Находка, ул. Плеханова, д. 3</w:t>
      </w:r>
      <w:r w:rsidRPr="00851318">
        <w:rPr>
          <w:rFonts w:eastAsia="Times New Roman" w:cstheme="minorBidi"/>
          <w:lang w:eastAsia="en-US"/>
        </w:rPr>
        <w:t>.</w:t>
      </w:r>
    </w:p>
    <w:p w14:paraId="0829F1EF" w14:textId="77777777" w:rsidR="00851318" w:rsidRPr="00851318" w:rsidRDefault="00851318" w:rsidP="00851318">
      <w:pPr>
        <w:ind w:firstLine="709"/>
        <w:jc w:val="both"/>
        <w:rPr>
          <w:rFonts w:eastAsia="Times New Roman" w:cstheme="minorBidi"/>
          <w:lang w:eastAsia="en-US"/>
        </w:rPr>
      </w:pPr>
      <w:r w:rsidRPr="00851318">
        <w:rPr>
          <w:rFonts w:eastAsia="Times New Roman" w:cstheme="minorBidi"/>
          <w:lang w:eastAsia="en-US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25-25-18/032/2008-209 от 10.06.2008.</w:t>
      </w:r>
    </w:p>
    <w:p w14:paraId="58D562DD" w14:textId="533AA6D5" w:rsidR="00366733" w:rsidRDefault="00366733" w:rsidP="007846A4">
      <w:pPr>
        <w:ind w:firstLine="709"/>
        <w:jc w:val="both"/>
        <w:rPr>
          <w:rFonts w:eastAsia="Times New Roman" w:cstheme="minorBidi"/>
          <w:lang w:eastAsia="en-US"/>
        </w:rPr>
      </w:pPr>
      <w:r w:rsidRPr="00366733">
        <w:rPr>
          <w:rFonts w:eastAsia="Times New Roman" w:cstheme="minorBidi"/>
          <w:b/>
          <w:bCs/>
          <w:lang w:eastAsia="en-US"/>
        </w:rPr>
        <w:t>Существующие ограничения (обременения):</w:t>
      </w:r>
      <w:r w:rsidRPr="00366733">
        <w:rPr>
          <w:rFonts w:eastAsia="Times New Roman" w:cstheme="minorBidi"/>
          <w:lang w:eastAsia="en-US"/>
        </w:rPr>
        <w:t xml:space="preserve"> Ограничения прав и обременени</w:t>
      </w:r>
      <w:r w:rsidR="00851318">
        <w:rPr>
          <w:rFonts w:eastAsia="Times New Roman" w:cstheme="minorBidi"/>
          <w:lang w:eastAsia="en-US"/>
        </w:rPr>
        <w:t>е</w:t>
      </w:r>
      <w:r w:rsidRPr="00366733">
        <w:rPr>
          <w:rFonts w:eastAsia="Times New Roman" w:cstheme="minorBidi"/>
          <w:lang w:eastAsia="en-US"/>
        </w:rPr>
        <w:t xml:space="preserve"> объект</w:t>
      </w:r>
      <w:r w:rsidR="00851318">
        <w:rPr>
          <w:rFonts w:eastAsia="Times New Roman" w:cstheme="minorBidi"/>
          <w:lang w:eastAsia="en-US"/>
        </w:rPr>
        <w:t>а</w:t>
      </w:r>
      <w:r w:rsidRPr="00366733">
        <w:rPr>
          <w:rFonts w:eastAsia="Times New Roman" w:cstheme="minorBidi"/>
          <w:lang w:eastAsia="en-US"/>
        </w:rPr>
        <w:t xml:space="preserve"> отражены в выписке из ЕГРН №</w:t>
      </w:r>
      <w:r w:rsidRPr="00366733">
        <w:t xml:space="preserve"> </w:t>
      </w:r>
      <w:r w:rsidR="00851318" w:rsidRPr="00851318">
        <w:t>99/2023/517083104</w:t>
      </w:r>
      <w:r>
        <w:rPr>
          <w:rFonts w:eastAsia="Times New Roman" w:cstheme="minorBidi"/>
          <w:lang w:eastAsia="en-US"/>
        </w:rPr>
        <w:t xml:space="preserve"> </w:t>
      </w:r>
      <w:r w:rsidRPr="00366733">
        <w:rPr>
          <w:rFonts w:eastAsia="Times New Roman" w:cstheme="minorBidi"/>
          <w:lang w:eastAsia="en-US"/>
        </w:rPr>
        <w:t xml:space="preserve">от </w:t>
      </w:r>
      <w:r w:rsidR="00851318">
        <w:rPr>
          <w:rFonts w:eastAsia="Times New Roman" w:cstheme="minorBidi"/>
          <w:lang w:eastAsia="en-US"/>
        </w:rPr>
        <w:t>02</w:t>
      </w:r>
      <w:r w:rsidRPr="00366733">
        <w:rPr>
          <w:rFonts w:eastAsia="Times New Roman" w:cstheme="minorBidi"/>
          <w:lang w:eastAsia="en-US"/>
        </w:rPr>
        <w:t>.</w:t>
      </w:r>
      <w:r w:rsidR="00851318">
        <w:rPr>
          <w:rFonts w:eastAsia="Times New Roman" w:cstheme="minorBidi"/>
          <w:lang w:eastAsia="en-US"/>
        </w:rPr>
        <w:t>0</w:t>
      </w:r>
      <w:r w:rsidRPr="00366733">
        <w:rPr>
          <w:rFonts w:eastAsia="Times New Roman" w:cstheme="minorBidi"/>
          <w:lang w:eastAsia="en-US"/>
        </w:rPr>
        <w:t>2.202</w:t>
      </w:r>
      <w:r w:rsidR="00851318">
        <w:rPr>
          <w:rFonts w:eastAsia="Times New Roman" w:cstheme="minorBidi"/>
          <w:lang w:eastAsia="en-US"/>
        </w:rPr>
        <w:t>3</w:t>
      </w:r>
      <w:r w:rsidRPr="00366733">
        <w:rPr>
          <w:rFonts w:eastAsia="Times New Roman" w:cstheme="minorBidi"/>
          <w:lang w:eastAsia="en-US"/>
        </w:rPr>
        <w:t>, которая прилагается к документам лота</w:t>
      </w:r>
      <w:r w:rsidR="00851318">
        <w:rPr>
          <w:rFonts w:eastAsia="Times New Roman" w:cstheme="minorBidi"/>
          <w:lang w:eastAsia="en-US"/>
        </w:rPr>
        <w:t>;</w:t>
      </w:r>
    </w:p>
    <w:p w14:paraId="7B625A39" w14:textId="1409C0A7" w:rsidR="00851318" w:rsidRDefault="00851318" w:rsidP="007846A4">
      <w:pPr>
        <w:ind w:firstLine="709"/>
        <w:jc w:val="both"/>
        <w:rPr>
          <w:rFonts w:eastAsia="Times New Roman" w:cstheme="minorBidi"/>
          <w:lang w:eastAsia="en-US"/>
        </w:rPr>
      </w:pPr>
    </w:p>
    <w:p w14:paraId="43D8606D" w14:textId="5EE6CDAA" w:rsidR="00851318" w:rsidRPr="000F084F" w:rsidRDefault="00851318" w:rsidP="00851318">
      <w:pPr>
        <w:pStyle w:val="af0"/>
        <w:ind w:firstLine="426"/>
        <w:jc w:val="both"/>
        <w:rPr>
          <w:lang w:eastAsia="en-US"/>
        </w:rPr>
      </w:pPr>
      <w:r w:rsidRPr="000F084F">
        <w:rPr>
          <w:b/>
          <w:bCs/>
          <w:lang w:eastAsia="en-US"/>
        </w:rPr>
        <w:t xml:space="preserve">- </w:t>
      </w:r>
      <w:r>
        <w:rPr>
          <w:b/>
          <w:bCs/>
          <w:lang w:eastAsia="en-US"/>
        </w:rPr>
        <w:t>З</w:t>
      </w:r>
      <w:r w:rsidRPr="000F084F">
        <w:rPr>
          <w:b/>
          <w:bCs/>
          <w:lang w:eastAsia="en-US"/>
        </w:rPr>
        <w:t>емельный участок,</w:t>
      </w:r>
      <w:r w:rsidRPr="000F084F">
        <w:rPr>
          <w:lang w:eastAsia="en-US"/>
        </w:rPr>
        <w:t xml:space="preserve"> </w:t>
      </w:r>
      <w:r>
        <w:rPr>
          <w:lang w:eastAsia="en-US"/>
        </w:rPr>
        <w:t xml:space="preserve">общей </w:t>
      </w:r>
      <w:r w:rsidRPr="000F084F">
        <w:rPr>
          <w:lang w:eastAsia="en-US"/>
        </w:rPr>
        <w:t xml:space="preserve">площадью </w:t>
      </w:r>
      <w:r w:rsidRPr="00851318">
        <w:rPr>
          <w:b/>
          <w:bCs/>
          <w:lang w:eastAsia="en-US"/>
        </w:rPr>
        <w:t>947,52 +/- 0,09</w:t>
      </w:r>
      <w:r>
        <w:rPr>
          <w:b/>
          <w:bCs/>
          <w:lang w:eastAsia="en-US"/>
        </w:rPr>
        <w:t xml:space="preserve"> </w:t>
      </w:r>
      <w:r w:rsidRPr="00851318">
        <w:rPr>
          <w:b/>
          <w:bCs/>
          <w:lang w:eastAsia="en-US"/>
        </w:rPr>
        <w:t>кв. м</w:t>
      </w:r>
      <w:r w:rsidRPr="000F084F">
        <w:rPr>
          <w:lang w:eastAsia="en-US"/>
        </w:rPr>
        <w:t>., кадастровый номер: 25:31:010402:900</w:t>
      </w:r>
      <w:r>
        <w:rPr>
          <w:lang w:eastAsia="en-US"/>
        </w:rPr>
        <w:t xml:space="preserve">, </w:t>
      </w:r>
      <w:r w:rsidRPr="00EC34CB">
        <w:rPr>
          <w:lang w:eastAsia="en-US"/>
        </w:rPr>
        <w:t>категория земель: земли населенных пунктов, виды разрешенного использования: под существующий жилой дом</w:t>
      </w:r>
      <w:r>
        <w:rPr>
          <w:lang w:eastAsia="en-US"/>
        </w:rPr>
        <w:t xml:space="preserve">, </w:t>
      </w:r>
      <w:r w:rsidRPr="00EC34CB">
        <w:rPr>
          <w:lang w:eastAsia="en-US"/>
        </w:rPr>
        <w:t>местоположение установлено относительно ориентира, расположенного в границах участка.</w:t>
      </w:r>
      <w:r>
        <w:rPr>
          <w:lang w:eastAsia="en-US"/>
        </w:rPr>
        <w:t xml:space="preserve"> </w:t>
      </w:r>
      <w:r w:rsidRPr="00EC34CB">
        <w:rPr>
          <w:lang w:eastAsia="en-US"/>
        </w:rPr>
        <w:t xml:space="preserve">Ориентир жилой дом. Почтовый адрес ориентира: край </w:t>
      </w:r>
      <w:r w:rsidRPr="00851318">
        <w:rPr>
          <w:b/>
          <w:bCs/>
          <w:lang w:eastAsia="en-US"/>
        </w:rPr>
        <w:t>Приморский, г. Находка, ул. Плеханова, дом 3</w:t>
      </w:r>
      <w:r w:rsidRPr="00EC34CB">
        <w:rPr>
          <w:lang w:eastAsia="en-US"/>
        </w:rPr>
        <w:t>.</w:t>
      </w:r>
    </w:p>
    <w:p w14:paraId="5EF81774" w14:textId="77777777" w:rsidR="00851318" w:rsidRPr="00EC34CB" w:rsidRDefault="00851318" w:rsidP="00851318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EC34CB">
        <w:rPr>
          <w:sz w:val="24"/>
          <w:szCs w:val="24"/>
        </w:rPr>
        <w:lastRenderedPageBreak/>
        <w:t>Принадлежит Должнику на праве собственности, что подтверждается записью</w:t>
      </w:r>
      <w:r>
        <w:rPr>
          <w:sz w:val="24"/>
          <w:szCs w:val="24"/>
        </w:rPr>
        <w:br/>
      </w:r>
      <w:r w:rsidRPr="00EC34CB">
        <w:rPr>
          <w:sz w:val="24"/>
          <w:szCs w:val="24"/>
        </w:rPr>
        <w:t>о регистрации в Едином государственном реестре недвижимости № 25-25-18/043/2006-133 от 13.10.2006.</w:t>
      </w:r>
    </w:p>
    <w:p w14:paraId="6EA89F85" w14:textId="5D755C24" w:rsidR="00851318" w:rsidRPr="00851318" w:rsidRDefault="00851318" w:rsidP="00851318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EC34CB">
        <w:rPr>
          <w:b/>
          <w:bCs/>
          <w:sz w:val="24"/>
          <w:szCs w:val="24"/>
        </w:rPr>
        <w:t xml:space="preserve">Существующие ограничения (обременения): </w:t>
      </w:r>
      <w:r w:rsidRPr="00851318">
        <w:rPr>
          <w:sz w:val="24"/>
          <w:szCs w:val="24"/>
        </w:rPr>
        <w:t>Ограничения прав и обременени</w:t>
      </w:r>
      <w:r>
        <w:rPr>
          <w:sz w:val="24"/>
          <w:szCs w:val="24"/>
        </w:rPr>
        <w:t>е</w:t>
      </w:r>
      <w:r w:rsidRPr="00851318">
        <w:rPr>
          <w:sz w:val="24"/>
          <w:szCs w:val="24"/>
        </w:rPr>
        <w:t xml:space="preserve"> объекта отражены в выписке из ЕГРН № КУВИ-001/2023-25070562</w:t>
      </w:r>
      <w:r>
        <w:rPr>
          <w:sz w:val="24"/>
          <w:szCs w:val="24"/>
        </w:rPr>
        <w:t xml:space="preserve"> </w:t>
      </w:r>
      <w:r w:rsidRPr="00851318">
        <w:rPr>
          <w:sz w:val="24"/>
          <w:szCs w:val="24"/>
        </w:rPr>
        <w:t>от 0</w:t>
      </w:r>
      <w:r>
        <w:rPr>
          <w:sz w:val="24"/>
          <w:szCs w:val="24"/>
        </w:rPr>
        <w:t>3</w:t>
      </w:r>
      <w:r w:rsidRPr="00851318">
        <w:rPr>
          <w:sz w:val="24"/>
          <w:szCs w:val="24"/>
        </w:rPr>
        <w:t>.02.2023, которая прилагается к документам лота</w:t>
      </w:r>
      <w:r>
        <w:rPr>
          <w:sz w:val="24"/>
          <w:szCs w:val="24"/>
        </w:rPr>
        <w:t>.</w:t>
      </w:r>
    </w:p>
    <w:p w14:paraId="55309531" w14:textId="77777777" w:rsidR="00851318" w:rsidRDefault="00851318" w:rsidP="007846A4">
      <w:pPr>
        <w:ind w:firstLine="709"/>
        <w:jc w:val="both"/>
        <w:rPr>
          <w:rFonts w:eastAsia="Times New Roman" w:cstheme="minorBidi"/>
          <w:lang w:eastAsia="en-US"/>
        </w:rPr>
      </w:pPr>
    </w:p>
    <w:p w14:paraId="1733E625" w14:textId="77777777" w:rsidR="009E091F" w:rsidRDefault="009E091F" w:rsidP="00851A29">
      <w:pPr>
        <w:ind w:firstLine="709"/>
        <w:jc w:val="both"/>
        <w:rPr>
          <w:b/>
          <w:bCs/>
        </w:rPr>
      </w:pPr>
    </w:p>
    <w:p w14:paraId="50F54333" w14:textId="684FD2BB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851318">
        <w:rPr>
          <w:b/>
          <w:bCs/>
          <w:color w:val="0070C0"/>
        </w:rPr>
        <w:t>8 000 000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851318">
        <w:rPr>
          <w:color w:val="000000"/>
        </w:rPr>
        <w:t xml:space="preserve">Восемь </w:t>
      </w:r>
      <w:r w:rsidR="00A232D0">
        <w:rPr>
          <w:color w:val="000000"/>
        </w:rPr>
        <w:t>миллионов</w:t>
      </w:r>
      <w:r w:rsidR="00851318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18F55A55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8937EE">
        <w:rPr>
          <w:b/>
          <w:bCs/>
          <w:color w:val="0070C0"/>
        </w:rPr>
        <w:t xml:space="preserve">400 000 </w:t>
      </w:r>
      <w:r w:rsidRPr="003E3EC0">
        <w:rPr>
          <w:bCs/>
        </w:rPr>
        <w:t>(</w:t>
      </w:r>
      <w:r w:rsidR="008937EE">
        <w:rPr>
          <w:bCs/>
        </w:rPr>
        <w:t xml:space="preserve">Четыреста </w:t>
      </w:r>
      <w:r w:rsidR="00A232D0">
        <w:rPr>
          <w:bCs/>
        </w:rPr>
        <w:t>тысяч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0AC0F3A7" w14:textId="68552D27" w:rsidR="0085694F" w:rsidRDefault="00851A29" w:rsidP="00A232D0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8937EE">
        <w:rPr>
          <w:b/>
          <w:bCs/>
          <w:color w:val="0070C0"/>
        </w:rPr>
        <w:t xml:space="preserve">400 000 </w:t>
      </w:r>
      <w:r w:rsidR="008937EE" w:rsidRPr="003E3EC0">
        <w:rPr>
          <w:bCs/>
        </w:rPr>
        <w:t>(</w:t>
      </w:r>
      <w:r w:rsidR="008937EE">
        <w:rPr>
          <w:bCs/>
        </w:rPr>
        <w:t>Четыреста тысяч</w:t>
      </w:r>
      <w:r w:rsidR="008937EE" w:rsidRPr="003E3EC0">
        <w:rPr>
          <w:bCs/>
        </w:rPr>
        <w:t xml:space="preserve">) </w:t>
      </w:r>
      <w:r w:rsidR="008937EE" w:rsidRPr="00B51BD5">
        <w:rPr>
          <w:b/>
          <w:bCs/>
          <w:color w:val="0070C0"/>
        </w:rPr>
        <w:t>руб. 00 коп</w:t>
      </w:r>
      <w:r w:rsidR="008937EE" w:rsidRPr="003E3EC0">
        <w:rPr>
          <w:b/>
          <w:bCs/>
        </w:rPr>
        <w:t>.</w:t>
      </w:r>
    </w:p>
    <w:p w14:paraId="455119B3" w14:textId="77777777" w:rsidR="0085694F" w:rsidRPr="003E3EC0" w:rsidRDefault="0085694F" w:rsidP="00A232D0">
      <w:pPr>
        <w:ind w:firstLine="709"/>
        <w:jc w:val="both"/>
        <w:rPr>
          <w:bCs/>
        </w:rPr>
      </w:pP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1A90F9C" w14:textId="77777777" w:rsidR="00750BA9" w:rsidRPr="00534145" w:rsidRDefault="00750BA9" w:rsidP="00750BA9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6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bookmarkEnd w:id="1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7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lastRenderedPageBreak/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БИК 044030653, к/с 30101810500000000653.</w:t>
      </w:r>
    </w:p>
    <w:p w14:paraId="6F6209CB" w14:textId="5A24AF93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3F276C">
        <w:rPr>
          <w:b/>
          <w:bCs/>
          <w:color w:val="0070C0"/>
        </w:rPr>
        <w:t>21 апреля</w:t>
      </w:r>
      <w:r w:rsidRPr="00B32B7C">
        <w:rPr>
          <w:b/>
          <w:bCs/>
          <w:color w:val="0070C0"/>
        </w:rPr>
        <w:t xml:space="preserve"> 2023 г. до 08.00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8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2A22A13B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3F276C">
        <w:rPr>
          <w:b/>
          <w:bCs/>
          <w:color w:val="0070C0"/>
          <w:u w:val="single"/>
        </w:rPr>
        <w:t>17 марта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3F3DFA">
        <w:rPr>
          <w:b/>
          <w:bCs/>
          <w:color w:val="0070C0"/>
          <w:u w:val="single"/>
        </w:rPr>
        <w:t>3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lastRenderedPageBreak/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9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2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2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4FDEDC1E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0417E8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lastRenderedPageBreak/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12D4796A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возвращается.</w:t>
      </w:r>
    </w:p>
    <w:p w14:paraId="39C685A8" w14:textId="2DC066F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1B342FF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0B5033">
        <w:rPr>
          <w:b/>
          <w:bCs/>
        </w:rPr>
        <w:t>должника</w:t>
      </w:r>
      <w:r w:rsidRPr="00CC799D">
        <w:rPr>
          <w:b/>
          <w:bCs/>
        </w:rPr>
        <w:t>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D17E89" w:rsidRDefault="00000000"/>
    <w:sectPr w:rsidR="00D17E89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417E8"/>
    <w:rsid w:val="00091393"/>
    <w:rsid w:val="000953E5"/>
    <w:rsid w:val="000B5033"/>
    <w:rsid w:val="000F1A4D"/>
    <w:rsid w:val="00143A34"/>
    <w:rsid w:val="00150F7A"/>
    <w:rsid w:val="00184790"/>
    <w:rsid w:val="00185C8B"/>
    <w:rsid w:val="001D7A9B"/>
    <w:rsid w:val="00234ECF"/>
    <w:rsid w:val="00272185"/>
    <w:rsid w:val="002728A4"/>
    <w:rsid w:val="00282C22"/>
    <w:rsid w:val="002D271D"/>
    <w:rsid w:val="002D571C"/>
    <w:rsid w:val="002E73AC"/>
    <w:rsid w:val="003201A7"/>
    <w:rsid w:val="003277A3"/>
    <w:rsid w:val="00346DB3"/>
    <w:rsid w:val="00350202"/>
    <w:rsid w:val="00366733"/>
    <w:rsid w:val="003A7F9F"/>
    <w:rsid w:val="003E5D2A"/>
    <w:rsid w:val="003F276C"/>
    <w:rsid w:val="003F3DFA"/>
    <w:rsid w:val="00406DD5"/>
    <w:rsid w:val="00460277"/>
    <w:rsid w:val="00477AE7"/>
    <w:rsid w:val="00484D9E"/>
    <w:rsid w:val="00497905"/>
    <w:rsid w:val="004C459E"/>
    <w:rsid w:val="004E45E2"/>
    <w:rsid w:val="004E6289"/>
    <w:rsid w:val="00567729"/>
    <w:rsid w:val="0057335E"/>
    <w:rsid w:val="005B0D58"/>
    <w:rsid w:val="005D4331"/>
    <w:rsid w:val="0060409A"/>
    <w:rsid w:val="006105D6"/>
    <w:rsid w:val="00613CCF"/>
    <w:rsid w:val="00622C2D"/>
    <w:rsid w:val="00694236"/>
    <w:rsid w:val="006C3761"/>
    <w:rsid w:val="00702538"/>
    <w:rsid w:val="00750BA9"/>
    <w:rsid w:val="0075466A"/>
    <w:rsid w:val="007827C2"/>
    <w:rsid w:val="007846A4"/>
    <w:rsid w:val="007E55D8"/>
    <w:rsid w:val="00825153"/>
    <w:rsid w:val="00833D96"/>
    <w:rsid w:val="00846CE7"/>
    <w:rsid w:val="00851318"/>
    <w:rsid w:val="00851A29"/>
    <w:rsid w:val="00854DC7"/>
    <w:rsid w:val="0085694F"/>
    <w:rsid w:val="00865C31"/>
    <w:rsid w:val="008937EE"/>
    <w:rsid w:val="009225AC"/>
    <w:rsid w:val="00925289"/>
    <w:rsid w:val="00927AB8"/>
    <w:rsid w:val="009773D2"/>
    <w:rsid w:val="009E0323"/>
    <w:rsid w:val="009E091F"/>
    <w:rsid w:val="00A232D0"/>
    <w:rsid w:val="00A40D10"/>
    <w:rsid w:val="00A4149C"/>
    <w:rsid w:val="00AA683E"/>
    <w:rsid w:val="00AA7A77"/>
    <w:rsid w:val="00B07A63"/>
    <w:rsid w:val="00B13F61"/>
    <w:rsid w:val="00B34981"/>
    <w:rsid w:val="00B366D5"/>
    <w:rsid w:val="00B50686"/>
    <w:rsid w:val="00B51BD5"/>
    <w:rsid w:val="00B95C7C"/>
    <w:rsid w:val="00BB6EE7"/>
    <w:rsid w:val="00BC1531"/>
    <w:rsid w:val="00C74A5D"/>
    <w:rsid w:val="00C97B50"/>
    <w:rsid w:val="00CC528A"/>
    <w:rsid w:val="00D235CB"/>
    <w:rsid w:val="00D557B5"/>
    <w:rsid w:val="00D61D58"/>
    <w:rsid w:val="00D70D9B"/>
    <w:rsid w:val="00D93155"/>
    <w:rsid w:val="00DA71BF"/>
    <w:rsid w:val="00DE3270"/>
    <w:rsid w:val="00DF48FA"/>
    <w:rsid w:val="00E53A85"/>
    <w:rsid w:val="00E54FE2"/>
    <w:rsid w:val="00E87002"/>
    <w:rsid w:val="00E96DEE"/>
    <w:rsid w:val="00EA17BA"/>
    <w:rsid w:val="00EC1C9A"/>
    <w:rsid w:val="00F84880"/>
    <w:rsid w:val="00FC04F0"/>
    <w:rsid w:val="00FC671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9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41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images/docs/regulations/reglament_zadatok_bkr.pdf?_t=165884778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251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6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42</cp:revision>
  <cp:lastPrinted>2021-07-19T03:16:00Z</cp:lastPrinted>
  <dcterms:created xsi:type="dcterms:W3CDTF">2020-05-19T01:22:00Z</dcterms:created>
  <dcterms:modified xsi:type="dcterms:W3CDTF">2023-03-15T06:28:00Z</dcterms:modified>
</cp:coreProperties>
</file>