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12A426D4" w14:textId="77777777" w:rsidR="00542EB7" w:rsidRPr="00224F8A" w:rsidRDefault="00542EB7" w:rsidP="00542EB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3E72400C" w14:textId="77777777" w:rsidR="00542EB7" w:rsidRPr="00224F8A" w:rsidRDefault="00542EB7" w:rsidP="00542EB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400FEC91" w14:textId="77777777" w:rsidR="00542EB7" w:rsidRPr="00224F8A" w:rsidRDefault="00542EB7" w:rsidP="00542EB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A24625" w14:textId="77777777" w:rsidR="00542EB7" w:rsidRDefault="00542EB7" w:rsidP="009D563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E0BA1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4069EAF5" w14:textId="77777777" w:rsidR="00542EB7" w:rsidRPr="004E0BA1" w:rsidRDefault="00542EB7" w:rsidP="00542EB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542EB7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542EB7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42EB7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7CC7911" w14:textId="39709E63" w:rsidR="0028544D" w:rsidRPr="00224F8A" w:rsidRDefault="00542EB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E0BA1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«Покупатель», с другой стороны, совместно именуемые «Стороны», а каждый в отдельности «Сторона», на основании Протокола ____________ №_______ от _____ заключили настоящий договор о нижеследующем (далее – Договор)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E3C8A1A" w14:textId="13A7183A" w:rsidR="00542EB7" w:rsidRPr="00542EB7" w:rsidRDefault="00542EB7" w:rsidP="00542EB7">
      <w:pPr>
        <w:pStyle w:val="ConsNormal"/>
        <w:widowControl/>
        <w:tabs>
          <w:tab w:val="left" w:pos="142"/>
          <w:tab w:val="left" w:pos="710"/>
        </w:tabs>
        <w:ind w:right="0" w:firstLine="567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>1.1 По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Pr="00542EB7">
        <w:rPr>
          <w:rFonts w:ascii="Verdana" w:hAnsi="Verdana" w:cs="Times New Roman"/>
        </w:rPr>
        <w:t>жилое помещение, вид: квартира, кадастровый номер №</w:t>
      </w:r>
      <w:r w:rsidRPr="005E3F67">
        <w:t xml:space="preserve"> </w:t>
      </w:r>
      <w:r w:rsidRPr="00542EB7">
        <w:rPr>
          <w:rFonts w:ascii="Verdana" w:hAnsi="Verdana" w:cs="Times New Roman"/>
        </w:rPr>
        <w:t xml:space="preserve">63:09:0301157:611, расположенное на </w:t>
      </w:r>
      <w:r>
        <w:rPr>
          <w:rFonts w:ascii="Verdana" w:hAnsi="Verdana" w:cs="Times New Roman"/>
        </w:rPr>
        <w:t>1</w:t>
      </w:r>
      <w:r w:rsidRPr="00542EB7">
        <w:rPr>
          <w:rFonts w:ascii="Verdana" w:hAnsi="Verdana" w:cs="Times New Roman"/>
        </w:rPr>
        <w:t xml:space="preserve"> этаже </w:t>
      </w:r>
      <w:r>
        <w:rPr>
          <w:rFonts w:ascii="Verdana" w:hAnsi="Verdana" w:cs="Times New Roman"/>
        </w:rPr>
        <w:t>5</w:t>
      </w:r>
      <w:r w:rsidRPr="00542EB7">
        <w:rPr>
          <w:rFonts w:ascii="Verdana" w:hAnsi="Verdana" w:cs="Times New Roman"/>
        </w:rPr>
        <w:t xml:space="preserve"> этажного здания, общей площадью </w:t>
      </w:r>
      <w:r>
        <w:rPr>
          <w:rFonts w:ascii="Verdana" w:hAnsi="Verdana" w:cs="Times New Roman"/>
        </w:rPr>
        <w:t>31,7</w:t>
      </w:r>
      <w:r w:rsidRPr="00542EB7">
        <w:rPr>
          <w:rFonts w:ascii="Verdana" w:hAnsi="Verdana" w:cs="Times New Roman"/>
        </w:rPr>
        <w:t xml:space="preserve"> кв. м., адрес (местонахождение): Самарская область, г. Тольятти, Центральный район, ул. Ленина, д.106, кв.42. (далее именуемое – «недвижимое имущество»).</w:t>
      </w:r>
    </w:p>
    <w:p w14:paraId="3BCA0879" w14:textId="58517C12" w:rsidR="00542EB7" w:rsidRDefault="00542EB7" w:rsidP="00542EB7">
      <w:pPr>
        <w:pStyle w:val="ConsNormal"/>
        <w:widowControl/>
        <w:tabs>
          <w:tab w:val="left" w:pos="993"/>
          <w:tab w:val="left" w:pos="1701"/>
        </w:tabs>
        <w:ind w:right="0" w:firstLine="567"/>
        <w:jc w:val="both"/>
        <w:rPr>
          <w:rFonts w:ascii="Verdana" w:hAnsi="Verdana"/>
          <w:color w:val="0070C0"/>
        </w:rPr>
      </w:pPr>
      <w:r w:rsidRPr="008509DF">
        <w:rPr>
          <w:rFonts w:ascii="Verdana" w:hAnsi="Verdana"/>
          <w:color w:val="000000" w:themeColor="text1"/>
        </w:rPr>
        <w:t>1.2. Недвижимое имущество принадлежит Продавцу на праве собственности на основании</w:t>
      </w:r>
      <w:r>
        <w:rPr>
          <w:rFonts w:ascii="Verdana" w:hAnsi="Verdana"/>
          <w:color w:val="000000" w:themeColor="text1"/>
        </w:rPr>
        <w:t xml:space="preserve"> Соглашения об отступном №029670 от 29.10.2021, Акта </w:t>
      </w:r>
      <w:r w:rsidR="0087431E">
        <w:rPr>
          <w:rFonts w:ascii="Verdana" w:hAnsi="Verdana"/>
          <w:color w:val="000000" w:themeColor="text1"/>
        </w:rPr>
        <w:t xml:space="preserve">приема-передачи недвижимого </w:t>
      </w:r>
      <w:r>
        <w:rPr>
          <w:rFonts w:ascii="Verdana" w:hAnsi="Verdana"/>
          <w:color w:val="000000" w:themeColor="text1"/>
        </w:rPr>
        <w:t xml:space="preserve">имущества от </w:t>
      </w:r>
      <w:r w:rsidR="0087431E">
        <w:rPr>
          <w:rFonts w:ascii="Verdana" w:hAnsi="Verdana"/>
          <w:color w:val="000000" w:themeColor="text1"/>
        </w:rPr>
        <w:t>28</w:t>
      </w:r>
      <w:r>
        <w:rPr>
          <w:rFonts w:ascii="Verdana" w:hAnsi="Verdana"/>
          <w:color w:val="000000" w:themeColor="text1"/>
        </w:rPr>
        <w:t>.12.202</w:t>
      </w:r>
      <w:r w:rsidR="0087431E">
        <w:rPr>
          <w:rFonts w:ascii="Verdana" w:hAnsi="Verdana"/>
          <w:color w:val="000000" w:themeColor="text1"/>
        </w:rPr>
        <w:t>1</w:t>
      </w:r>
      <w:r w:rsidRPr="008509DF">
        <w:rPr>
          <w:rFonts w:ascii="Verdana" w:hAnsi="Verdana"/>
          <w:color w:val="000000" w:themeColor="text1"/>
        </w:rPr>
        <w:t>, 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87431E" w:rsidRPr="0087431E">
        <w:rPr>
          <w:rFonts w:ascii="Verdana" w:hAnsi="Verdana" w:cs="Times New Roman"/>
          <w:i/>
          <w:color w:val="0070C0"/>
          <w:sz w:val="18"/>
          <w:szCs w:val="18"/>
        </w:rPr>
        <w:t>63:09:0301157:611-63/458/2021-3</w:t>
      </w:r>
      <w:r w:rsidR="0087431E">
        <w:rPr>
          <w:rFonts w:ascii="Verdana" w:hAnsi="Verdana" w:cs="Times New Roman"/>
          <w:i/>
          <w:color w:val="0070C0"/>
          <w:sz w:val="18"/>
          <w:szCs w:val="18"/>
        </w:rPr>
        <w:t xml:space="preserve"> от </w:t>
      </w:r>
      <w:r w:rsidR="0087431E" w:rsidRPr="0087431E">
        <w:rPr>
          <w:rFonts w:ascii="Verdana" w:hAnsi="Verdana" w:cs="Times New Roman"/>
          <w:i/>
          <w:color w:val="0070C0"/>
          <w:sz w:val="18"/>
          <w:szCs w:val="18"/>
        </w:rPr>
        <w:t>16.12.2021</w:t>
      </w:r>
      <w:r>
        <w:rPr>
          <w:rFonts w:ascii="Verdana" w:hAnsi="Verdana" w:cs="Times New Roman"/>
          <w:sz w:val="18"/>
          <w:szCs w:val="18"/>
        </w:rPr>
        <w:t xml:space="preserve">, </w:t>
      </w:r>
      <w:r w:rsidRPr="008509DF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Pr="008509DF">
        <w:rPr>
          <w:rFonts w:ascii="Verdana" w:hAnsi="Verdana"/>
          <w:i/>
          <w:color w:val="0070C0"/>
        </w:rPr>
        <w:t>от</w:t>
      </w:r>
      <w:r>
        <w:rPr>
          <w:rFonts w:ascii="Verdana" w:hAnsi="Verdana"/>
          <w:i/>
          <w:color w:val="0070C0"/>
        </w:rPr>
        <w:t xml:space="preserve"> </w:t>
      </w:r>
      <w:r w:rsidR="0087431E" w:rsidRPr="0087431E">
        <w:rPr>
          <w:rFonts w:ascii="Verdana" w:hAnsi="Verdana"/>
          <w:i/>
          <w:color w:val="0070C0"/>
        </w:rPr>
        <w:t>13.03.2023г. № КУВИ-001/2023-61214374</w:t>
      </w:r>
      <w:r w:rsidRPr="008509DF">
        <w:rPr>
          <w:rFonts w:ascii="Verdana" w:hAnsi="Verdana"/>
          <w:color w:val="0070C0"/>
        </w:rPr>
        <w:t>.</w:t>
      </w:r>
    </w:p>
    <w:p w14:paraId="4911A950" w14:textId="0A3E37E5" w:rsidR="00263FF9" w:rsidRPr="008509DF" w:rsidRDefault="00263FF9" w:rsidP="00263FF9">
      <w:pPr>
        <w:pStyle w:val="ConsNormal"/>
        <w:widowControl/>
        <w:tabs>
          <w:tab w:val="left" w:pos="851"/>
          <w:tab w:val="left" w:pos="1701"/>
        </w:tabs>
        <w:ind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</w:rPr>
        <w:t>1.2.1.</w:t>
      </w:r>
      <w:r>
        <w:rPr>
          <w:rFonts w:ascii="Verdana" w:hAnsi="Verdana" w:cs="Times New Roman"/>
        </w:rPr>
        <w:t xml:space="preserve"> </w:t>
      </w:r>
      <w:bookmarkStart w:id="0" w:name="_GoBack"/>
      <w:bookmarkEnd w:id="0"/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77777777" w:rsidR="00171986" w:rsidRPr="008509DF" w:rsidRDefault="000E2F36" w:rsidP="0087431E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35A45F5A" w14:textId="77777777" w:rsidR="0087431E" w:rsidRPr="008509DF" w:rsidRDefault="0087431E" w:rsidP="0087431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  <w:r w:rsidRPr="00F26C28">
        <w:rPr>
          <w:rFonts w:ascii="Verdana" w:hAnsi="Verdana"/>
          <w:bCs/>
        </w:rPr>
        <w:t>1.5.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7DEAC381" w14:textId="77777777" w:rsidR="0087431E" w:rsidRDefault="0087431E" w:rsidP="0087431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2F5D6FB0" w14:textId="77777777" w:rsidR="0087431E" w:rsidRDefault="0087431E" w:rsidP="0087431E">
      <w:pPr>
        <w:ind w:firstLine="567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  <w:r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</w:t>
      </w:r>
      <w:r w:rsidRPr="00F26C28">
        <w:rPr>
          <w:rFonts w:ascii="Verdana" w:hAnsi="Verdana" w:cs="Verdana"/>
          <w:color w:val="000000"/>
          <w:sz w:val="20"/>
          <w:szCs w:val="20"/>
        </w:rPr>
        <w:t xml:space="preserve">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</w:t>
      </w:r>
      <w:r w:rsidRPr="00F26C28">
        <w:rPr>
          <w:rFonts w:ascii="Verdana" w:hAnsi="Verdana" w:cs="Verdana"/>
          <w:b/>
          <w:color w:val="000000"/>
          <w:sz w:val="20"/>
          <w:szCs w:val="20"/>
        </w:rPr>
        <w:t>за исключением тех, о которых ему сообщил Продавец</w:t>
      </w:r>
      <w:r w:rsidRPr="00F26C28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EFA98" w14:textId="39BE5155" w:rsidR="00E2774D" w:rsidRPr="008509DF" w:rsidRDefault="00654EB7" w:rsidP="00654EB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8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Pr="00F26C28">
        <w:rPr>
          <w:rFonts w:ascii="Verdana" w:hAnsi="Verdana"/>
        </w:rPr>
        <w:t>______________________(__________________) рублей ___ копеек, НДС не облагается на основании пп.22 п.3 ст.149 Налогового кодекса Российской Федерации</w:t>
      </w:r>
      <w:r w:rsidR="00CF1A05" w:rsidRPr="008509DF">
        <w:rPr>
          <w:rFonts w:ascii="Verdana" w:hAnsi="Verdana"/>
        </w:rPr>
        <w:t xml:space="preserve"> </w:t>
      </w:r>
    </w:p>
    <w:p w14:paraId="035FDEC3" w14:textId="44DC72C3" w:rsidR="00A24FDA" w:rsidRDefault="00C131F7" w:rsidP="00654EB7">
      <w:pPr>
        <w:ind w:firstLine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654EB7" w:rsidRPr="007051FF" w14:paraId="2D1C6CDA" w14:textId="77777777" w:rsidTr="009D563B">
        <w:trPr>
          <w:trHeight w:val="693"/>
        </w:trPr>
        <w:tc>
          <w:tcPr>
            <w:tcW w:w="2161" w:type="dxa"/>
            <w:shd w:val="clear" w:color="auto" w:fill="auto"/>
          </w:tcPr>
          <w:p w14:paraId="49C90AC9" w14:textId="77777777" w:rsidR="00654EB7" w:rsidRPr="007051FF" w:rsidRDefault="00654EB7" w:rsidP="009D563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0AFA367" w14:textId="77777777" w:rsidR="00654EB7" w:rsidRPr="007051FF" w:rsidRDefault="00654EB7" w:rsidP="009D563B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654EB7" w:rsidRPr="0055668A" w14:paraId="3E557957" w14:textId="77777777" w:rsidTr="009D563B">
        <w:trPr>
          <w:trHeight w:val="693"/>
        </w:trPr>
        <w:tc>
          <w:tcPr>
            <w:tcW w:w="2161" w:type="dxa"/>
            <w:shd w:val="clear" w:color="auto" w:fill="auto"/>
          </w:tcPr>
          <w:p w14:paraId="3688B725" w14:textId="77777777" w:rsidR="00654EB7" w:rsidRPr="007051FF" w:rsidRDefault="00654EB7" w:rsidP="009D563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5E6D903" w14:textId="77777777" w:rsidR="00654EB7" w:rsidRPr="007051FF" w:rsidRDefault="00654EB7" w:rsidP="009D563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7420285F" w14:textId="77777777" w:rsidR="00654EB7" w:rsidRDefault="00654EB7" w:rsidP="009D56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0B9AE04" w14:textId="77777777" w:rsidR="00654EB7" w:rsidRPr="007051FF" w:rsidRDefault="00654EB7" w:rsidP="009D56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530E">
              <w:rPr>
                <w:rFonts w:ascii="Verdana" w:hAnsi="Verdana" w:cs="Arial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54EB7" w:rsidRPr="008509DF" w14:paraId="25B47001" w14:textId="77777777" w:rsidTr="009D563B">
        <w:trPr>
          <w:trHeight w:val="1004"/>
        </w:trPr>
        <w:tc>
          <w:tcPr>
            <w:tcW w:w="1843" w:type="dxa"/>
            <w:shd w:val="clear" w:color="auto" w:fill="auto"/>
          </w:tcPr>
          <w:p w14:paraId="2D47DB94" w14:textId="77777777" w:rsidR="00654EB7" w:rsidRPr="008509DF" w:rsidRDefault="00654EB7" w:rsidP="009D56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8BF8094" w14:textId="5666A0D5" w:rsidR="00654EB7" w:rsidRPr="008509DF" w:rsidRDefault="00654EB7" w:rsidP="00654EB7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Pr="009E3A1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654EB7" w:rsidRPr="008076AD" w14:paraId="2C3D6002" w14:textId="77777777" w:rsidTr="009D563B">
        <w:trPr>
          <w:trHeight w:val="1459"/>
        </w:trPr>
        <w:tc>
          <w:tcPr>
            <w:tcW w:w="1843" w:type="dxa"/>
            <w:shd w:val="clear" w:color="auto" w:fill="auto"/>
          </w:tcPr>
          <w:p w14:paraId="16399FB9" w14:textId="77777777" w:rsidR="00654EB7" w:rsidRPr="008076AD" w:rsidRDefault="00654EB7" w:rsidP="009D56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BB12904" w14:textId="77777777" w:rsidR="00654EB7" w:rsidRPr="008076AD" w:rsidRDefault="00654EB7" w:rsidP="009D56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аккредитивом </w:t>
            </w:r>
          </w:p>
        </w:tc>
        <w:tc>
          <w:tcPr>
            <w:tcW w:w="7512" w:type="dxa"/>
            <w:shd w:val="clear" w:color="auto" w:fill="auto"/>
          </w:tcPr>
          <w:p w14:paraId="167F49C2" w14:textId="3F2AEF2D" w:rsidR="00654EB7" w:rsidRPr="008076AD" w:rsidRDefault="00654EB7" w:rsidP="00654EB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(Н</w:t>
            </w:r>
            <w:r w:rsidRPr="007A6D38">
              <w:rPr>
                <w:rFonts w:ascii="Verdana" w:hAnsi="Verdana"/>
                <w:i/>
                <w:color w:val="0070C0"/>
                <w:sz w:val="20"/>
                <w:szCs w:val="20"/>
              </w:rPr>
              <w:t>ДС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371BD39D" w14:textId="77777777" w:rsidR="00654EB7" w:rsidRPr="008509DF" w:rsidRDefault="00654EB7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0CAE6A" w14:textId="77777777" w:rsidR="00D179B3" w:rsidRPr="00D179B3" w:rsidRDefault="00D179B3" w:rsidP="00D179B3">
      <w:pPr>
        <w:pStyle w:val="a5"/>
        <w:ind w:left="32" w:firstLine="677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8076AD">
        <w:rPr>
          <w:rFonts w:ascii="Verdana" w:hAnsi="Verdana"/>
          <w:i/>
          <w:color w:val="0070C0"/>
        </w:rPr>
        <w:t>____ (______)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Pr="008076AD">
        <w:rPr>
          <w:rFonts w:ascii="Verdana" w:hAnsi="Verdana"/>
          <w:color w:val="0070C0"/>
        </w:rPr>
        <w:t>_____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законодательством/НДС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D179B3">
        <w:rPr>
          <w:rFonts w:ascii="Verdana" w:hAnsi="Verdana"/>
        </w:rPr>
        <w:t>в счет Обеспечительного платежа Покупателя в пользу Продавца (ст. 381.1 ГК РФ).</w:t>
      </w:r>
    </w:p>
    <w:p w14:paraId="738BC53D" w14:textId="77777777" w:rsidR="00D179B3" w:rsidRPr="00D179B3" w:rsidRDefault="00D179B3" w:rsidP="00D179B3">
      <w:pPr>
        <w:pStyle w:val="a5"/>
        <w:ind w:left="32" w:firstLine="677"/>
        <w:jc w:val="both"/>
        <w:rPr>
          <w:rFonts w:ascii="Verdana" w:hAnsi="Verdana"/>
        </w:rPr>
      </w:pPr>
      <w:r w:rsidRPr="00D179B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(п.п. 2.2.1 Договора), в том числе обязанность возместить убытки или уплатить неустойку в случае нарушения Договора (п.п. 6.1, 6.2 Договора).</w:t>
      </w:r>
    </w:p>
    <w:p w14:paraId="541A9FDB" w14:textId="77777777" w:rsidR="00D179B3" w:rsidRPr="00D179B3" w:rsidRDefault="00D179B3" w:rsidP="00D179B3">
      <w:pPr>
        <w:pStyle w:val="a5"/>
        <w:ind w:left="32"/>
        <w:jc w:val="both"/>
        <w:rPr>
          <w:rFonts w:ascii="Verdana" w:hAnsi="Verdana"/>
        </w:rPr>
      </w:pPr>
      <w:r w:rsidRPr="00D179B3">
        <w:rPr>
          <w:rFonts w:ascii="Verdana" w:hAnsi="Verdana"/>
        </w:rPr>
        <w:t>Обеспечительный платеж является собственностью Продавца.</w:t>
      </w:r>
    </w:p>
    <w:p w14:paraId="1C738793" w14:textId="77777777" w:rsidR="00D179B3" w:rsidRPr="00D179B3" w:rsidRDefault="00D179B3" w:rsidP="00D179B3">
      <w:pPr>
        <w:pStyle w:val="a5"/>
        <w:ind w:left="32" w:firstLine="677"/>
        <w:jc w:val="both"/>
        <w:rPr>
          <w:rFonts w:ascii="Verdana" w:hAnsi="Verdana"/>
        </w:rPr>
      </w:pPr>
      <w:r w:rsidRPr="00D179B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___________ (_____________) рублей ___ копеек (в том числе НДС, исчисленный в соответствии с действующим законодательством/НДС не облагается).</w:t>
      </w:r>
    </w:p>
    <w:p w14:paraId="6225F2D3" w14:textId="2B43C61E" w:rsidR="00D179B3" w:rsidRPr="0002347F" w:rsidRDefault="00D179B3" w:rsidP="00D179B3">
      <w:pPr>
        <w:pStyle w:val="a5"/>
        <w:ind w:left="32" w:firstLine="677"/>
        <w:jc w:val="both"/>
        <w:rPr>
          <w:rFonts w:ascii="Verdana" w:hAnsi="Verdana"/>
          <w:highlight w:val="yellow"/>
        </w:rPr>
      </w:pPr>
      <w:r w:rsidRPr="00D179B3">
        <w:rPr>
          <w:rFonts w:ascii="Verdana" w:hAnsi="Verdana"/>
        </w:rPr>
        <w:t>В случае отказа Продавца от Договора в соответствии с пунктом 9.2. Договора (не поступление на счет Продавца оплаты цены недвижимого имущества; не открытия / не продления аккредитива) Обеспечительный платеж не подлежит возврату Покупателю и остается у Продавца</w:t>
      </w:r>
      <w:r>
        <w:rPr>
          <w:rFonts w:ascii="Verdana" w:hAnsi="Verdana"/>
        </w:rPr>
        <w:t>.</w:t>
      </w:r>
    </w:p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A9EF931" w:rsidR="00A24C91" w:rsidRPr="00FE757B" w:rsidRDefault="00FE757B" w:rsidP="00FE757B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  <w:sz w:val="20"/>
          <w:szCs w:val="20"/>
        </w:rPr>
      </w:pPr>
      <w:r w:rsidRPr="00FE757B">
        <w:rPr>
          <w:rFonts w:ascii="Verdana" w:hAnsi="Verdana"/>
          <w:b/>
          <w:sz w:val="20"/>
          <w:szCs w:val="20"/>
        </w:rPr>
        <w:t xml:space="preserve">3. </w:t>
      </w:r>
      <w:r w:rsidR="00A24C91" w:rsidRPr="00FE757B">
        <w:rPr>
          <w:rFonts w:ascii="Verdana" w:hAnsi="Verdana"/>
          <w:b/>
          <w:sz w:val="20"/>
          <w:szCs w:val="20"/>
        </w:rPr>
        <w:t>ПЕРЕДАЧА ИМУЩЕСТВА</w:t>
      </w:r>
    </w:p>
    <w:p w14:paraId="388587D8" w14:textId="77777777" w:rsidR="00D179B3" w:rsidRPr="00935308" w:rsidRDefault="00D179B3" w:rsidP="00D179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3.1.</w:t>
      </w:r>
      <w:r w:rsidRPr="009353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течение 5 (Пяти) рабочих дней 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654AD836" w:rsidR="00CE777E" w:rsidRPr="008509DF" w:rsidRDefault="00FE757B" w:rsidP="00FE75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4ED469A2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</w:t>
      </w:r>
      <w:r w:rsid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м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365BBE1E" w:rsidR="00703507" w:rsidRPr="008509DF" w:rsidRDefault="00FE757B" w:rsidP="00FE75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4CDC768" w14:textId="77777777" w:rsidR="00D179B3" w:rsidRDefault="00D179B3" w:rsidP="00D179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D179B3" w:rsidRPr="008509DF" w14:paraId="4CA52FC9" w14:textId="77777777" w:rsidTr="009D563B">
        <w:trPr>
          <w:trHeight w:val="1004"/>
        </w:trPr>
        <w:tc>
          <w:tcPr>
            <w:tcW w:w="1843" w:type="dxa"/>
            <w:shd w:val="clear" w:color="auto" w:fill="auto"/>
          </w:tcPr>
          <w:p w14:paraId="3567AAD0" w14:textId="77777777" w:rsidR="00D179B3" w:rsidRPr="008509DF" w:rsidRDefault="00D179B3" w:rsidP="009D56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510B2B8" w14:textId="77777777" w:rsidR="00D179B3" w:rsidRPr="00CE3A45" w:rsidRDefault="00D179B3" w:rsidP="009D563B">
            <w:pPr>
              <w:adjustRightInd w:val="0"/>
              <w:spacing w:after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67721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5 рабочих дней </w:t>
            </w:r>
            <w:r w:rsidRPr="00CE3A45">
              <w:rPr>
                <w:rFonts w:ascii="Verdana" w:hAnsi="Verdana"/>
                <w:sz w:val="20"/>
                <w:szCs w:val="20"/>
              </w:rPr>
              <w:t xml:space="preserve">с даты поступления на расчетный счет Продавца денежных средств по </w:t>
            </w:r>
            <w:r w:rsidRPr="00677212">
              <w:rPr>
                <w:rFonts w:ascii="Verdana" w:hAnsi="Verdana"/>
                <w:sz w:val="20"/>
                <w:szCs w:val="20"/>
              </w:rPr>
              <w:t>Догов</w:t>
            </w:r>
            <w:r>
              <w:rPr>
                <w:rFonts w:ascii="Verdana" w:hAnsi="Verdana"/>
                <w:sz w:val="20"/>
                <w:szCs w:val="20"/>
              </w:rPr>
              <w:t>о</w:t>
            </w:r>
            <w:r w:rsidRPr="00677212">
              <w:rPr>
                <w:rFonts w:ascii="Verdana" w:hAnsi="Verdana"/>
                <w:sz w:val="20"/>
                <w:szCs w:val="20"/>
              </w:rPr>
              <w:t>ру в</w:t>
            </w:r>
            <w:r w:rsidRPr="00CE3A45">
              <w:rPr>
                <w:rFonts w:ascii="Verdana" w:hAnsi="Verdana"/>
                <w:sz w:val="20"/>
                <w:szCs w:val="20"/>
              </w:rPr>
              <w:t xml:space="preserve"> полном объеме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D179B3" w:rsidRPr="008076AD" w14:paraId="6116112E" w14:textId="77777777" w:rsidTr="009D563B">
        <w:trPr>
          <w:trHeight w:val="1459"/>
        </w:trPr>
        <w:tc>
          <w:tcPr>
            <w:tcW w:w="1843" w:type="dxa"/>
            <w:shd w:val="clear" w:color="auto" w:fill="auto"/>
          </w:tcPr>
          <w:p w14:paraId="7826FDEB" w14:textId="77777777" w:rsidR="00D179B3" w:rsidRPr="008076AD" w:rsidRDefault="00D179B3" w:rsidP="009D56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AE820A7" w14:textId="77777777" w:rsidR="00D179B3" w:rsidRPr="008076AD" w:rsidRDefault="00D179B3" w:rsidP="009D56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аккредитивом </w:t>
            </w:r>
          </w:p>
        </w:tc>
        <w:tc>
          <w:tcPr>
            <w:tcW w:w="7512" w:type="dxa"/>
            <w:shd w:val="clear" w:color="auto" w:fill="auto"/>
          </w:tcPr>
          <w:p w14:paraId="063958F3" w14:textId="77777777" w:rsidR="00D179B3" w:rsidRPr="008076AD" w:rsidRDefault="00D179B3" w:rsidP="009D563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CE3A45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рабочих дней</w:t>
            </w:r>
            <w:r w:rsidRPr="00677212">
              <w:rPr>
                <w:rFonts w:ascii="Verdana" w:hAnsi="Verdana"/>
                <w:sz w:val="20"/>
                <w:szCs w:val="20"/>
              </w:rPr>
              <w:t xml:space="preserve"> с даты получения Продавцом уведомления о размещении на аккредитивном счете денежных средств по </w:t>
            </w:r>
            <w:r>
              <w:rPr>
                <w:rFonts w:ascii="Verdana" w:hAnsi="Verdana"/>
                <w:sz w:val="20"/>
                <w:szCs w:val="20"/>
              </w:rPr>
              <w:t>Договору</w:t>
            </w:r>
            <w:r w:rsidRPr="00677212">
              <w:rPr>
                <w:rFonts w:ascii="Verdana" w:hAnsi="Verdana"/>
                <w:sz w:val="20"/>
                <w:szCs w:val="20"/>
              </w:rPr>
              <w:t xml:space="preserve"> в полном объеме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67FD20CF" w14:textId="77777777" w:rsidR="00D179B3" w:rsidRPr="008509DF" w:rsidRDefault="00D179B3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CD26FA" w14:textId="77777777" w:rsidR="00D179B3" w:rsidRPr="008509DF" w:rsidRDefault="00D179B3" w:rsidP="00D179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605D1EF5" w:rsidR="0013718F" w:rsidRPr="008509DF" w:rsidRDefault="00D179B3" w:rsidP="00D179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Pr="000B24E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прав.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4D8CDD75" w:rsidR="001D4AF6" w:rsidRPr="008509DF" w:rsidRDefault="00FE757B" w:rsidP="00FE75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23FAD4E9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D179B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1E412A2A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D179B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1466C3C0" w:rsidR="009304B4" w:rsidRPr="008509DF" w:rsidRDefault="00FE757B" w:rsidP="00FE7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5A273B5B" w:rsidR="009304B4" w:rsidRPr="00FE757B" w:rsidRDefault="00FE757B" w:rsidP="00FE757B">
      <w:pPr>
        <w:widowControl w:val="0"/>
        <w:shd w:val="clear" w:color="auto" w:fill="FFFFFF"/>
        <w:adjustRightInd w:val="0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75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FE757B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08EF31B8" w:rsidR="00046C89" w:rsidRPr="0055668A" w:rsidRDefault="00046C89" w:rsidP="00D179B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D179B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26F80E8E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0D7A8FDF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FE757B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27839838" w:rsidR="00C76935" w:rsidRPr="0055668A" w:rsidRDefault="00FE757B" w:rsidP="00FE757B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Приложение №2</w:t>
                  </w:r>
                  <w:r w:rsidR="00C76935"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67433073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7A69235" w14:textId="0BAC3C12" w:rsidR="00852459" w:rsidRDefault="0085245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8926B3" w14:textId="77777777" w:rsidR="00852459" w:rsidRPr="008509DF" w:rsidRDefault="0085245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167DF4" w14:textId="77777777" w:rsidR="00852459" w:rsidRPr="00935308" w:rsidRDefault="00852459" w:rsidP="0085245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5308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820E784" w14:textId="1FD16B14" w:rsidR="007D2ACC" w:rsidRPr="00852459" w:rsidRDefault="00852459" w:rsidP="00852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="00DD5861" w:rsidRPr="0085245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2459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="00DD5861" w:rsidRPr="008524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Pr="008524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жилое помещение, вид: квартира, кадастровый номер № 63:09:0301157:611, расположенное на 1 этаже 5 этажного здания, общей площадью 31,7 кв. м., адрес (местонахождение): Самарская область, г. Тольятти, Центральный район, ул. Ленина, д.106, кв.42. </w:t>
      </w:r>
    </w:p>
    <w:p w14:paraId="215EBA80" w14:textId="22448F36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  <w:r w:rsidR="00852459" w:rsidRPr="00852459">
        <w:t xml:space="preserve"> </w:t>
      </w:r>
      <w:r w:rsidR="00852459">
        <w:t xml:space="preserve">         </w:t>
      </w:r>
      <w:r w:rsidR="00852459" w:rsidRPr="00852459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223563" w14:textId="77777777" w:rsidR="00852459" w:rsidRPr="008509DF" w:rsidRDefault="00852459" w:rsidP="0085245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E6702B6" w14:textId="77777777" w:rsidR="00852459" w:rsidRPr="008509DF" w:rsidRDefault="00852459" w:rsidP="0085245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0DFE1C0" w14:textId="77777777" w:rsidR="00852459" w:rsidRPr="008509DF" w:rsidRDefault="00852459" w:rsidP="0085245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7E4503B" w14:textId="77777777" w:rsidR="00852459" w:rsidRPr="008509DF" w:rsidRDefault="00852459" w:rsidP="0085245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CE693DE" w14:textId="77777777" w:rsidR="00852459" w:rsidRDefault="00852459" w:rsidP="0085245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4C37A7A" w14:textId="77777777" w:rsidR="00852459" w:rsidRPr="008509DF" w:rsidRDefault="00852459" w:rsidP="0085245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3E5117" w14:textId="77777777" w:rsidR="00852459" w:rsidRPr="008509DF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3B9D717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B7D7162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673A940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E30BE43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EFFEB27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6AED16B3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48CC1A6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6EDB114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7AF39D0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849A979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CF73052" w14:textId="77777777" w:rsidR="00852459" w:rsidRPr="000C2791" w:rsidRDefault="00852459" w:rsidP="008524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2057776" w14:textId="77777777" w:rsidR="00852459" w:rsidRPr="00487713" w:rsidRDefault="00852459" w:rsidP="0085245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487713">
        <w:rPr>
          <w:rFonts w:ascii="Verdana" w:eastAsia="Times New Roman" w:hAnsi="Verdana" w:cs="Times New Roman"/>
          <w:sz w:val="20"/>
          <w:szCs w:val="20"/>
          <w:lang w:eastAsia="ru-RU"/>
        </w:rPr>
        <w:t>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26C489CA" w14:textId="77777777" w:rsidR="00852459" w:rsidRPr="000C2791" w:rsidRDefault="00852459" w:rsidP="0085245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Договора</w:t>
      </w:r>
      <w:r w:rsidRPr="00487713">
        <w:rPr>
          <w:rFonts w:ascii="Verdana" w:eastAsia="Times New Roman" w:hAnsi="Verdana" w:cs="Times New Roman"/>
          <w:sz w:val="20"/>
          <w:szCs w:val="20"/>
          <w:lang w:eastAsia="ru-RU"/>
        </w:rPr>
        <w:t>, заключенного между Продавцом и Покупателем</w:t>
      </w:r>
    </w:p>
    <w:p w14:paraId="5CE6CC65" w14:textId="77777777" w:rsidR="00852459" w:rsidRPr="008509DF" w:rsidRDefault="00852459" w:rsidP="00852459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D3C3083" w14:textId="77777777" w:rsidR="00852459" w:rsidRPr="008509DF" w:rsidRDefault="00852459" w:rsidP="00852459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1DC1B2" w14:textId="77777777" w:rsidR="00852459" w:rsidRPr="00A72651" w:rsidRDefault="00852459" w:rsidP="00852459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59C94AA" w14:textId="77777777" w:rsidR="00852459" w:rsidRPr="00A72651" w:rsidRDefault="00852459" w:rsidP="00852459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017C96" w14:textId="77777777" w:rsidR="00852459" w:rsidRPr="00A72651" w:rsidRDefault="00852459" w:rsidP="00852459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1B157D42" w14:textId="77777777" w:rsidR="00852459" w:rsidRPr="00035ED5" w:rsidRDefault="00852459" w:rsidP="00852459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2272FCB5" w14:textId="77777777" w:rsidR="00852459" w:rsidRPr="008509DF" w:rsidRDefault="00852459" w:rsidP="008524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557A48" w14:textId="77777777" w:rsidR="00852459" w:rsidRPr="008509DF" w:rsidRDefault="00852459" w:rsidP="00852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A40DD6B" w14:textId="77777777" w:rsidR="00852459" w:rsidRPr="008509DF" w:rsidRDefault="00852459" w:rsidP="00852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57B33BB" w14:textId="77777777" w:rsidR="00852459" w:rsidRPr="008509DF" w:rsidRDefault="00852459" w:rsidP="0085245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27C48F3" w14:textId="77777777" w:rsidR="00852459" w:rsidRPr="008509DF" w:rsidRDefault="00852459" w:rsidP="008524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5077F12" w14:textId="77777777" w:rsidR="00852459" w:rsidRPr="008509DF" w:rsidRDefault="00852459" w:rsidP="00852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BA2CBDA" w14:textId="77777777" w:rsidR="00852459" w:rsidRPr="008509DF" w:rsidRDefault="00852459" w:rsidP="00852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F733CC4" w14:textId="77777777" w:rsidR="00852459" w:rsidRPr="008509DF" w:rsidRDefault="00852459" w:rsidP="0085245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12EF0B7D" w14:textId="77777777" w:rsidR="00852459" w:rsidRPr="008509DF" w:rsidRDefault="00852459" w:rsidP="0085245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7987D8B" w14:textId="77777777" w:rsidR="00852459" w:rsidRPr="008509DF" w:rsidRDefault="00852459" w:rsidP="0085245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15341C" w14:textId="77777777" w:rsidR="00852459" w:rsidRPr="008509DF" w:rsidRDefault="00852459" w:rsidP="008524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7CDE54" w14:textId="77777777" w:rsidR="00852459" w:rsidRDefault="00852459" w:rsidP="00852459">
      <w:pPr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4D31CC9C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3E4F" w14:textId="77777777" w:rsidR="003D6AB7" w:rsidRDefault="003D6AB7" w:rsidP="00E33D4F">
      <w:pPr>
        <w:spacing w:after="0" w:line="240" w:lineRule="auto"/>
      </w:pPr>
      <w:r>
        <w:separator/>
      </w:r>
    </w:p>
  </w:endnote>
  <w:endnote w:type="continuationSeparator" w:id="0">
    <w:p w14:paraId="5585F440" w14:textId="77777777" w:rsidR="003D6AB7" w:rsidRDefault="003D6AB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6E83D19F" w:rsidR="00CF75AA" w:rsidRDefault="00CF75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F9">
          <w:rPr>
            <w:noProof/>
          </w:rPr>
          <w:t>2</w:t>
        </w:r>
        <w:r>
          <w:fldChar w:fldCharType="end"/>
        </w:r>
      </w:p>
    </w:sdtContent>
  </w:sdt>
  <w:p w14:paraId="19746260" w14:textId="77777777" w:rsidR="00CF75AA" w:rsidRDefault="00CF75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5B16F" w14:textId="77777777" w:rsidR="003D6AB7" w:rsidRDefault="003D6AB7" w:rsidP="00E33D4F">
      <w:pPr>
        <w:spacing w:after="0" w:line="240" w:lineRule="auto"/>
      </w:pPr>
      <w:r>
        <w:separator/>
      </w:r>
    </w:p>
  </w:footnote>
  <w:footnote w:type="continuationSeparator" w:id="0">
    <w:p w14:paraId="7D1E349B" w14:textId="77777777" w:rsidR="003D6AB7" w:rsidRDefault="003D6AB7" w:rsidP="00E33D4F">
      <w:pPr>
        <w:spacing w:after="0" w:line="240" w:lineRule="auto"/>
      </w:pPr>
      <w:r>
        <w:continuationSeparator/>
      </w:r>
    </w:p>
  </w:footnote>
  <w:footnote w:id="1">
    <w:p w14:paraId="13003725" w14:textId="77777777" w:rsidR="00852459" w:rsidRDefault="00852459" w:rsidP="00852459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D61B99"/>
    <w:multiLevelType w:val="multilevel"/>
    <w:tmpl w:val="EFAEA2F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 w:themeColor="text1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10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3FF9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2EB7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4EB7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459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31E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85B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179B3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57B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C905-2D16-4FFF-B566-6EE8C56B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4717</Words>
  <Characters>26892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6</cp:revision>
  <cp:lastPrinted>2019-10-21T13:14:00Z</cp:lastPrinted>
  <dcterms:created xsi:type="dcterms:W3CDTF">2022-10-11T15:13:00Z</dcterms:created>
  <dcterms:modified xsi:type="dcterms:W3CDTF">2023-04-02T17:17:00Z</dcterms:modified>
</cp:coreProperties>
</file>