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F211D1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4414724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705C7E" w14:textId="6876B8E4" w:rsidR="00F02FDC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02FDC" w:rsidRPr="00224F8A" w14:paraId="76A1BF49" w14:textId="77777777" w:rsidTr="004B3FCE">
        <w:tc>
          <w:tcPr>
            <w:tcW w:w="9498" w:type="dxa"/>
          </w:tcPr>
          <w:p w14:paraId="299C9235" w14:textId="77777777" w:rsidR="00F02FDC" w:rsidRPr="00224F8A" w:rsidRDefault="00F02FDC" w:rsidP="004B3FCE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36345106" w14:textId="77777777" w:rsidR="00F02FDC" w:rsidRPr="008509DF" w:rsidRDefault="00F02FDC" w:rsidP="00F02F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2D9FF4B8" w14:textId="77777777" w:rsidR="00F02FDC" w:rsidRPr="00224F8A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33C334BF" w14:textId="77777777" w:rsidR="00171986" w:rsidRPr="008509DF" w:rsidRDefault="00171986" w:rsidP="001265DB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62CB4BB1" w14:textId="182E1BC6" w:rsidR="00D911F0" w:rsidRPr="00F02FDC" w:rsidRDefault="001265DB" w:rsidP="001265D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ab/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02FDC">
        <w:rPr>
          <w:rFonts w:ascii="Verdana" w:hAnsi="Verdana" w:cs="Times New Roman"/>
          <w:color w:val="000000" w:themeColor="text1"/>
        </w:rPr>
        <w:t>обязуется принять и оплатить</w:t>
      </w:r>
      <w:r w:rsidR="00F02FDC">
        <w:rPr>
          <w:rFonts w:ascii="Verdana" w:hAnsi="Verdana" w:cs="Times New Roman"/>
          <w:color w:val="000000" w:themeColor="text1"/>
        </w:rPr>
        <w:t xml:space="preserve"> </w:t>
      </w:r>
    </w:p>
    <w:p w14:paraId="555AB9AB" w14:textId="5A5ACDA9" w:rsidR="00F02FDC" w:rsidRDefault="00F02FDC" w:rsidP="001265DB">
      <w:pPr>
        <w:ind w:left="99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02FD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Pr="00F02FD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ежилое помещение площадью 987,1 </w:t>
      </w:r>
      <w:proofErr w:type="spellStart"/>
      <w:r w:rsidRPr="00F02FD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F02FD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., расположенное по адресу: Самарская область, г. Тольятти, Автозаводский р-н, ул. 40 Лет Победы, д. 9, пом. 1-32, кадастровый номер: 63:09:0101183:1564</w:t>
      </w:r>
    </w:p>
    <w:p w14:paraId="6890BC43" w14:textId="77777777" w:rsidR="00F211D1" w:rsidRPr="00F02FDC" w:rsidRDefault="00F211D1" w:rsidP="001265DB">
      <w:pPr>
        <w:ind w:left="99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267BF6" w14:paraId="653F3E20" w14:textId="77777777" w:rsidTr="008E0802">
        <w:tc>
          <w:tcPr>
            <w:tcW w:w="9634" w:type="dxa"/>
            <w:vAlign w:val="center"/>
          </w:tcPr>
          <w:p w14:paraId="2FD11AE0" w14:textId="46FD685B" w:rsidR="00917AD9" w:rsidRPr="00917AD9" w:rsidRDefault="00B51A33" w:rsidP="001265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7AD9">
              <w:rPr>
                <w:rFonts w:ascii="Verdana" w:hAnsi="Verdana"/>
                <w:sz w:val="20"/>
                <w:szCs w:val="20"/>
              </w:rPr>
              <w:t>(далее именуемое – «недвижимое имущество»).</w:t>
            </w:r>
            <w:r w:rsidR="00917AD9" w:rsidRPr="00917A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684A18A" w14:textId="77777777" w:rsidR="00917AD9" w:rsidRPr="00917AD9" w:rsidRDefault="00917AD9" w:rsidP="001265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AD209" w14:textId="4D413E9A" w:rsidR="00917AD9" w:rsidRDefault="00917AD9" w:rsidP="001265DB">
            <w:pPr>
              <w:pStyle w:val="a5"/>
              <w:numPr>
                <w:ilvl w:val="1"/>
                <w:numId w:val="37"/>
              </w:numPr>
              <w:ind w:firstLine="0"/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>Недвижимое имущество</w:t>
            </w:r>
          </w:p>
          <w:p w14:paraId="4EB12AF6" w14:textId="2E7BB1E5" w:rsidR="00F02FDC" w:rsidRDefault="00F02FDC" w:rsidP="001265DB">
            <w:pPr>
              <w:ind w:firstLine="102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11D1">
              <w:rPr>
                <w:rFonts w:ascii="Verdana" w:hAnsi="Verdana"/>
                <w:color w:val="000000" w:themeColor="text1"/>
              </w:rPr>
              <w:t xml:space="preserve">- </w:t>
            </w:r>
            <w:r w:rsidRPr="00F211D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принадлежит Продавцу на праве собственности, о чем </w:t>
            </w:r>
            <w:r w:rsidR="00E6317B" w:rsidRPr="00F211D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Едином</w:t>
            </w:r>
            <w:r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государственном реестре недвижимости сделана запись о регистрации</w:t>
            </w:r>
            <w:r w:rsidR="00F211D1"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211D1" w:rsidRPr="00F211D1">
              <w:t>№ 63:09:0101183:1564-63/461/2020-2 от 21.10.2020</w:t>
            </w:r>
            <w:r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что подтверждается Выпиской из Единого государственного реестра недвижимости от </w:t>
            </w:r>
            <w:r w:rsidR="00F211D1"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30.11.2022 </w:t>
            </w:r>
            <w:r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 w:rsidR="00F211D1"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211D1" w:rsidRPr="00F211D1">
              <w:t>99/2022/509533332</w:t>
            </w:r>
            <w:r w:rsidR="001265DB" w:rsidRPr="00F211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9D88487" w14:textId="374A6EF8" w:rsidR="001265DB" w:rsidRDefault="001265DB" w:rsidP="001265D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2758FF1" w14:textId="0A02CB8C" w:rsidR="00651334" w:rsidRPr="006C1588" w:rsidRDefault="00651334" w:rsidP="001265D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51334">
              <w:rPr>
                <w:rFonts w:ascii="Verdana" w:hAnsi="Verdana"/>
                <w:color w:val="000000" w:themeColor="text1"/>
                <w:sz w:val="20"/>
                <w:szCs w:val="20"/>
              </w:rPr>
              <w:t>1.2.1.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651334">
              <w:rPr>
                <w:rFonts w:ascii="Verdana" w:hAnsi="Verdana"/>
                <w:color w:val="000000" w:themeColor="text1"/>
                <w:sz w:val="20"/>
                <w:szCs w:val="20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      </w:r>
          </w:p>
          <w:p w14:paraId="0563EB1C" w14:textId="14B1C31B" w:rsidR="00917AD9" w:rsidRPr="00917AD9" w:rsidRDefault="00917AD9" w:rsidP="001265DB">
            <w:pPr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ADD95C1" w14:textId="77777777" w:rsidR="00171986" w:rsidRPr="008509DF" w:rsidRDefault="000E2F36" w:rsidP="001265D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851"/>
        </w:tabs>
        <w:ind w:left="142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5AF35DA9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</w:t>
      </w:r>
      <w:r w:rsidR="00E6317B">
        <w:rPr>
          <w:rFonts w:ascii="Verdana" w:hAnsi="Verdana" w:cs="Times New Roman"/>
        </w:rPr>
        <w:t xml:space="preserve">имущество, </w:t>
      </w:r>
      <w:r w:rsidR="00E6317B" w:rsidRPr="00267BF6">
        <w:rPr>
          <w:rFonts w:ascii="Verdana" w:hAnsi="Verdana" w:cs="Times New Roman"/>
        </w:rPr>
        <w:t>не</w:t>
      </w:r>
      <w:r w:rsidRPr="00267BF6">
        <w:rPr>
          <w:rFonts w:ascii="Verdana" w:hAnsi="Verdana" w:cs="Times New Roman"/>
        </w:rPr>
        <w:t xml:space="preserve">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 xml:space="preserve">за исключением тех, о которых ему сообщил </w:t>
      </w:r>
      <w:r w:rsidR="00E6317B" w:rsidRPr="00267BF6">
        <w:rPr>
          <w:rFonts w:ascii="Verdana" w:hAnsi="Verdana" w:cs="Times New Roman"/>
          <w:b/>
          <w:bCs/>
        </w:rPr>
        <w:t>Продавец,</w:t>
      </w:r>
      <w:r w:rsidRPr="00267BF6">
        <w:rPr>
          <w:rFonts w:ascii="Verdana" w:hAnsi="Verdana" w:cs="Times New Roman"/>
        </w:rPr>
        <w:t xml:space="preserve"> которые </w:t>
      </w:r>
      <w:r w:rsidRPr="00267BF6">
        <w:rPr>
          <w:rFonts w:ascii="Verdana" w:hAnsi="Verdana" w:cs="Times New Roman"/>
        </w:rPr>
        <w:lastRenderedPageBreak/>
        <w:t>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267BF6">
        <w:rPr>
          <w:rFonts w:ascii="Verdana" w:hAnsi="Verdana" w:cs="Times New Roman"/>
        </w:rPr>
        <w:t>,</w:t>
      </w:r>
      <w:r w:rsidR="00D81A69">
        <w:rPr>
          <w:rFonts w:ascii="Verdana" w:hAnsi="Verdana" w:cs="Times New Roman"/>
        </w:rPr>
        <w:t xml:space="preserve"> </w:t>
      </w:r>
      <w:r w:rsidRPr="00267BF6">
        <w:rPr>
          <w:rFonts w:ascii="Verdana" w:hAnsi="Verdana" w:cs="Times New Roman"/>
        </w:rPr>
        <w:t>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 xml:space="preserve">, к документации </w:t>
      </w:r>
      <w:r w:rsidR="00E6317B">
        <w:rPr>
          <w:rFonts w:ascii="Verdana" w:hAnsi="Verdana" w:cs="Times New Roman"/>
        </w:rPr>
        <w:t>на недвижимые имущества</w:t>
      </w:r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  <w:r w:rsidR="00D81A69" w:rsidRPr="00D81A69">
        <w:rPr>
          <w:rFonts w:ascii="Verdana" w:hAnsi="Verdana" w:cs="Times New Roman"/>
        </w:rPr>
        <w:t xml:space="preserve"> </w:t>
      </w:r>
      <w:r w:rsidR="00D81A69">
        <w:rPr>
          <w:rFonts w:ascii="Verdana" w:hAnsi="Verdana" w:cs="Times New Roman"/>
        </w:rPr>
        <w:t>Покупатель подтверждает, что уведомлен о необходимости привести объект в соответствие с правилами пожарной безопасности и самостоятельно проведет необходимые мероприятия.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BD53A38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BCB08C7" w14:textId="3AA74BDC" w:rsidR="0069552F" w:rsidRDefault="0069552F" w:rsidP="006955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4A7B65" w14:textId="77777777" w:rsidR="00835211" w:rsidRDefault="0069552F" w:rsidP="0069552F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</w:t>
      </w:r>
      <w:proofErr w:type="gramStart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_(</w:t>
      </w:r>
      <w:proofErr w:type="gramEnd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</w:t>
      </w:r>
      <w:r w:rsidR="0083521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D5CFA58" w:rsidR="000E6B2F" w:rsidRPr="007051F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452E8204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E6317B">
        <w:rPr>
          <w:rFonts w:ascii="Verdana" w:hAnsi="Verdana"/>
          <w:i/>
          <w:color w:val="0070C0"/>
          <w:sz w:val="20"/>
          <w:szCs w:val="20"/>
        </w:rPr>
        <w:t>1 160 320</w:t>
      </w:r>
      <w:r w:rsidR="00C80337" w:rsidRPr="00BF4D7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C80337">
        <w:rPr>
          <w:rFonts w:ascii="Verdana" w:hAnsi="Verdana"/>
          <w:i/>
          <w:color w:val="0070C0"/>
          <w:sz w:val="20"/>
          <w:szCs w:val="20"/>
        </w:rPr>
        <w:t xml:space="preserve">один миллион </w:t>
      </w:r>
      <w:r w:rsidR="00E6317B">
        <w:rPr>
          <w:rFonts w:ascii="Verdana" w:hAnsi="Verdana"/>
          <w:i/>
          <w:color w:val="0070C0"/>
          <w:sz w:val="20"/>
          <w:szCs w:val="20"/>
        </w:rPr>
        <w:t>сто шестьдесят тысяч триста двадцать рублей</w:t>
      </w:r>
      <w:r w:rsidR="00C80337" w:rsidRPr="00BF4D7B">
        <w:rPr>
          <w:rFonts w:ascii="Verdana" w:hAnsi="Verdana"/>
          <w:i/>
          <w:color w:val="0070C0"/>
          <w:sz w:val="20"/>
          <w:szCs w:val="20"/>
        </w:rPr>
        <w:t>)</w:t>
      </w:r>
      <w:r w:rsidR="00C80337"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рублей</w:t>
      </w:r>
      <w:r w:rsidR="00C80337">
        <w:rPr>
          <w:rFonts w:ascii="Verdana" w:hAnsi="Verdana"/>
          <w:color w:val="0070C0"/>
          <w:sz w:val="20"/>
          <w:szCs w:val="20"/>
        </w:rPr>
        <w:t xml:space="preserve"> 00</w:t>
      </w:r>
      <w:r w:rsidRPr="00BF4D7B">
        <w:rPr>
          <w:rFonts w:ascii="Verdana" w:hAnsi="Verdana"/>
          <w:sz w:val="20"/>
          <w:szCs w:val="20"/>
        </w:rPr>
        <w:t xml:space="preserve"> копеек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B184C72" w14:textId="77777777" w:rsidR="00592EC7" w:rsidRDefault="00592EC7" w:rsidP="00592EC7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77A8DAA" w14:textId="5988DE75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D6A2431" w:rsidR="00211F7A" w:rsidRPr="00DE7D98" w:rsidRDefault="00651334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01C6D11" w14:textId="5BCD8E8A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651334" w:rsidRPr="00651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недвижимого имущества в соответствии с п.2.2, 2.3 Договора в полном объеме </w:t>
      </w:r>
      <w:r w:rsidR="00651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4C8B378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7777777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средств, уплаченных Покупателем в соответствии с п.2.2.2 Договора.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333A69C6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</w:t>
                  </w:r>
                  <w:r w:rsidR="00D81A6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63DE5B8F" w14:textId="79460F24" w:rsidR="008F0E3E" w:rsidRPr="008F0E3E" w:rsidRDefault="00C80337" w:rsidP="00C80337">
            <w:pPr>
              <w:pStyle w:val="a5"/>
              <w:ind w:left="88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>- н</w:t>
            </w:r>
            <w:r w:rsidRPr="00F02FDC">
              <w:rPr>
                <w:rFonts w:ascii="Verdana" w:hAnsi="Verdana"/>
                <w:color w:val="000000" w:themeColor="text1"/>
              </w:rPr>
              <w:t xml:space="preserve">ежилое помещение площадью 987,1 </w:t>
            </w:r>
            <w:proofErr w:type="spellStart"/>
            <w:r w:rsidRPr="00F02FDC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Pr="00F02FDC">
              <w:rPr>
                <w:rFonts w:ascii="Verdana" w:hAnsi="Verdana"/>
                <w:color w:val="000000" w:themeColor="text1"/>
              </w:rPr>
              <w:t>., расположенное по адресу: Самарская область, г. Тольятти, Автозаводский р-н, ул. 40 Лет Победы, д. 9, пом. 1-32, кадастровый номер: 63:09:0101183:1564</w:t>
            </w:r>
            <w:r>
              <w:rPr>
                <w:rFonts w:ascii="Verdana" w:hAnsi="Verdana"/>
                <w:color w:val="000000" w:themeColor="text1"/>
              </w:rPr>
              <w:t>.</w:t>
            </w:r>
          </w:p>
          <w:p w14:paraId="0512257F" w14:textId="01521CBB" w:rsidR="008F0E3E" w:rsidRPr="008F0E3E" w:rsidRDefault="008F0E3E" w:rsidP="00C80337">
            <w:pPr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8A7253D" w14:textId="77777777" w:rsidR="00FE52E8" w:rsidRDefault="00FE52E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2E8">
        <w:rPr>
          <w:rFonts w:ascii="Verdana" w:eastAsia="SimSun" w:hAnsi="Verdana"/>
          <w:kern w:val="1"/>
          <w:lang w:eastAsia="hi-IN" w:bidi="hi-IN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https://riarating.ru/banks/). ▪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FCA1" w14:textId="77777777" w:rsidR="00992A35" w:rsidRDefault="00992A35" w:rsidP="00E33D4F">
      <w:pPr>
        <w:spacing w:after="0" w:line="240" w:lineRule="auto"/>
      </w:pPr>
      <w:r>
        <w:separator/>
      </w:r>
    </w:p>
  </w:endnote>
  <w:endnote w:type="continuationSeparator" w:id="0">
    <w:p w14:paraId="59BD0F26" w14:textId="77777777" w:rsidR="00992A35" w:rsidRDefault="00992A3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B133619" w:rsidR="00BF4D7B" w:rsidRDefault="00BF4D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7B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BF4D7B" w:rsidRDefault="00BF4D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D86C" w14:textId="77777777" w:rsidR="00992A35" w:rsidRDefault="00992A35" w:rsidP="00E33D4F">
      <w:pPr>
        <w:spacing w:after="0" w:line="240" w:lineRule="auto"/>
      </w:pPr>
      <w:r>
        <w:separator/>
      </w:r>
    </w:p>
  </w:footnote>
  <w:footnote w:type="continuationSeparator" w:id="0">
    <w:p w14:paraId="13C415BB" w14:textId="77777777" w:rsidR="00992A35" w:rsidRDefault="00992A35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BF4D7B" w:rsidRDefault="00BF4D7B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BF4D7B" w:rsidRPr="0010369A" w:rsidRDefault="00BF4D7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BF4D7B" w:rsidRDefault="00BF4D7B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65DB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1334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35211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A35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C89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2689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337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1A69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17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2FDC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1D1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2595-C794-434A-84C6-69C0182F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4</cp:revision>
  <cp:lastPrinted>2019-10-21T13:14:00Z</cp:lastPrinted>
  <dcterms:created xsi:type="dcterms:W3CDTF">2022-12-01T07:01:00Z</dcterms:created>
  <dcterms:modified xsi:type="dcterms:W3CDTF">2023-03-30T11:28:00Z</dcterms:modified>
</cp:coreProperties>
</file>