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DD7DC4C" w:rsidR="00E41D4C" w:rsidRPr="007062A7" w:rsidRDefault="005459F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62A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062A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7062A7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проводит электронные </w:t>
      </w:r>
      <w:r w:rsidR="00E41D4C" w:rsidRPr="007062A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7062A7" w:rsidRDefault="00555595" w:rsidP="002046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706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D2B337D" w:rsidR="00655998" w:rsidRPr="007062A7" w:rsidRDefault="00655998" w:rsidP="002046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2D10A6BF" w14:textId="77777777" w:rsidR="0020464E" w:rsidRPr="007062A7" w:rsidRDefault="0020464E" w:rsidP="00204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62A7">
        <w:t>Лот 1 - ООО «</w:t>
      </w:r>
      <w:proofErr w:type="spellStart"/>
      <w:r w:rsidRPr="007062A7">
        <w:t>Производственнотехническая</w:t>
      </w:r>
      <w:proofErr w:type="spellEnd"/>
      <w:r w:rsidRPr="007062A7">
        <w:t xml:space="preserve"> база-СДС», ИНН 5020069602 (поручители </w:t>
      </w:r>
      <w:proofErr w:type="spellStart"/>
      <w:r w:rsidRPr="007062A7">
        <w:t>Воловник</w:t>
      </w:r>
      <w:proofErr w:type="spellEnd"/>
      <w:r w:rsidRPr="007062A7">
        <w:t xml:space="preserve"> Александр Давидович, Зинченко Сергей Анатольевич, Садыгов Салам Аллахверди, Садыгов Туфан Аллахверди, ЗАО «</w:t>
      </w:r>
      <w:proofErr w:type="spellStart"/>
      <w:r w:rsidRPr="007062A7">
        <w:t>Подрезково</w:t>
      </w:r>
      <w:proofErr w:type="spellEnd"/>
      <w:r w:rsidRPr="007062A7">
        <w:t xml:space="preserve"> Технопарк» ИНН 7743703528, ЗАО «ПП «УСТОЙ», ИНН 5075000230, ООО «СОЮЗДОРСТРОЙ», ИНН 5020053994, ООО «ТД </w:t>
      </w:r>
      <w:proofErr w:type="spellStart"/>
      <w:r w:rsidRPr="007062A7">
        <w:t>Автотрансстрой</w:t>
      </w:r>
      <w:proofErr w:type="spellEnd"/>
      <w:r w:rsidRPr="007062A7">
        <w:t>» ИНН 5020034575, ПАО «Волгомост», ИНН 6450010433), КД 160315/01-КЛ от 16.03.2015, 270315/01-К от 27.03.2015, 140415/01-КЛ от 14.04.2015, 140515/02-К от 14.05.2015, 190515/02-К от 19.05.2015, 210515/01-К от 21.05.2015,  100615/01-КЛ от 10.06.2015, 270815/01-К от 27.08.2015, 230915/01-К от 23.09.2015, 250915/02-КЛ от 25.09.2015, 011015/01-КЛ от 01.10.2015, определение АС г. Москвы от 29.01.2020 по делу А40-186883/19-46-224 Б о включении в РТК третьей очереди, должник и поручители находятся в банкротстве (5 272 544 592,01 руб.) - 533 475 000,00 руб.;</w:t>
      </w:r>
    </w:p>
    <w:p w14:paraId="72D9C127" w14:textId="77777777" w:rsidR="0020464E" w:rsidRPr="007062A7" w:rsidRDefault="0020464E" w:rsidP="00204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62A7">
        <w:t>Лот 2 - ООО «Дорожно-Строительные Инновации», ИНН 5007092803 (поручители ЗАО «</w:t>
      </w:r>
      <w:proofErr w:type="spellStart"/>
      <w:r w:rsidRPr="007062A7">
        <w:t>Подрезково</w:t>
      </w:r>
      <w:proofErr w:type="spellEnd"/>
      <w:r w:rsidRPr="007062A7">
        <w:t xml:space="preserve"> Технопарк» ИНН 7743703528, ЗАО «ПП «УСТОЙ», ИНН 5075000230, ООО «СОЮЗДОРСТРОЙ», ИНН 5020053994, ООО «ТД </w:t>
      </w:r>
      <w:proofErr w:type="spellStart"/>
      <w:r w:rsidRPr="007062A7">
        <w:t>Автотрансстрой</w:t>
      </w:r>
      <w:proofErr w:type="spellEnd"/>
      <w:r w:rsidRPr="007062A7">
        <w:t>», ИНН 5020034575, ПАО «Волгомост», ИНН 6450010433, Зинченко Сергей Анатольевич, Садыгов Туфан Аллахверди, Садыгов Салам Аллахверди), КД 231115/01-К от 23.11.2015, 151215/02-К от 15.12.2015, 270116/02-К от 27.01.2016, 040216/01-К от 04.02.2016,  решение АС г. Москвы от 14.12.2017 по делу А40-180151/17-156-61, поручители находятся в банкротстве, включены в РТК третьей очереди (186 231 919,33 руб.) - 63 454 635,24 руб.;</w:t>
      </w:r>
    </w:p>
    <w:p w14:paraId="5623EF4B" w14:textId="19BEEF2F" w:rsidR="00C56153" w:rsidRPr="007062A7" w:rsidRDefault="0020464E" w:rsidP="002046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062A7">
        <w:t>Лот 3 - ООО «</w:t>
      </w:r>
      <w:proofErr w:type="spellStart"/>
      <w:r w:rsidRPr="007062A7">
        <w:t>Гипротрансмост</w:t>
      </w:r>
      <w:proofErr w:type="spellEnd"/>
      <w:r w:rsidRPr="007062A7">
        <w:t>-Крым», ИНН 9102165826 (поручители Зинченко Сергей Анатольевич, Садыгов Салам Аллахверди, Садыгов Туфан Аллахверди, ЗАО «</w:t>
      </w:r>
      <w:proofErr w:type="spellStart"/>
      <w:r w:rsidRPr="007062A7">
        <w:t>Подрезково</w:t>
      </w:r>
      <w:proofErr w:type="spellEnd"/>
      <w:r w:rsidRPr="007062A7">
        <w:t xml:space="preserve"> Технопарк», ИНН 7743703528, ООО «Волгомост-Крым», ИНН 9102182814, ООО «СОЮЗДОРСТРОЙ», ИНН 5020053994, ООО «ТД </w:t>
      </w:r>
      <w:proofErr w:type="spellStart"/>
      <w:r w:rsidRPr="007062A7">
        <w:t>Автотрансстрой</w:t>
      </w:r>
      <w:proofErr w:type="spellEnd"/>
      <w:r w:rsidRPr="007062A7">
        <w:t>», ИНН 5020034575, ПАО «Волгомост» ИНН 6450010433), КД 050315/01-К от 05.03.2015, 160215/02-К от 16.02.2015, 240215/01-КЛ от 24.02.2015, 160215/01-К от 16.02.2015, 060315/01-К от 06.03.2015, определение АС Республики Крым от 20.08.2018 по делу А83-5178/2018 о включении в РТК третьей очереди, должник и поручители находятся в банкротстве (2 085 682 834,06 руб.) - 395 131 437,00 руб.</w:t>
      </w:r>
    </w:p>
    <w:p w14:paraId="14351655" w14:textId="14CF085A" w:rsidR="00555595" w:rsidRPr="007062A7" w:rsidRDefault="00555595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062A7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 w:rsidRPr="007062A7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7062A7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062A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062A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7062A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062A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0DFC98A" w:rsidR="0003404B" w:rsidRPr="007062A7" w:rsidRDefault="008F1609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7062A7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0464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апреля </w:t>
      </w:r>
      <w:r w:rsidR="00002933" w:rsidRPr="00706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06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0464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июня </w:t>
      </w:r>
      <w:r w:rsidR="00002933" w:rsidRPr="00706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7062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7062A7" w:rsidRDefault="008F1609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E3D24C2" w:rsidR="0003404B" w:rsidRPr="007062A7" w:rsidRDefault="0003404B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64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апреля</w:t>
      </w:r>
      <w:r w:rsidR="0043622C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20464E"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062A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70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7062A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7062A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7062A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7062A7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7062A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6172A94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18 апреля 2023 г. по 28 мая 2023 г. - в размере начальной цены продажи лота;</w:t>
      </w:r>
    </w:p>
    <w:p w14:paraId="21C95CF0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97,00% от начальной цены продажи лота;</w:t>
      </w:r>
    </w:p>
    <w:p w14:paraId="44FF2F9D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94,00% от начальной цены продажи лота;</w:t>
      </w:r>
    </w:p>
    <w:p w14:paraId="0CD27E5E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91,00% от начальной цены продажи лота;</w:t>
      </w:r>
    </w:p>
    <w:p w14:paraId="024697F2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88,00% от начальной цены продажи лота;</w:t>
      </w:r>
    </w:p>
    <w:p w14:paraId="693FD071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85,00% от начальной цены продажи лота;</w:t>
      </w:r>
    </w:p>
    <w:p w14:paraId="502C5B5D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82,00% от начальной цены продажи лота;</w:t>
      </w:r>
    </w:p>
    <w:p w14:paraId="50B9E73C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79,00% от начальной цены продажи лота;</w:t>
      </w:r>
    </w:p>
    <w:p w14:paraId="06E8CA95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76,00% от начальной цены продажи лота;</w:t>
      </w:r>
    </w:p>
    <w:p w14:paraId="2BB06B2E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73,00% от начальной цены продажи лота;</w:t>
      </w:r>
    </w:p>
    <w:p w14:paraId="2A0C8E44" w14:textId="77777777" w:rsidR="0020464E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70,00% от начальной цены продажи лота;</w:t>
      </w:r>
    </w:p>
    <w:p w14:paraId="4C2F5EA0" w14:textId="3EBA9647" w:rsidR="00C56153" w:rsidRPr="007062A7" w:rsidRDefault="0020464E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67,00% от начальной цены продажи лота.</w:t>
      </w:r>
    </w:p>
    <w:p w14:paraId="46FF98F4" w14:textId="5BD31498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062A7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7062A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7062A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7062A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7062A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706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7062A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2A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7062A7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7062A7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7062A7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7062A7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7062A7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7062A7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E82EC37" w:rsidR="008F6C92" w:rsidRPr="007062A7" w:rsidRDefault="008F6C92" w:rsidP="00204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062A7">
        <w:rPr>
          <w:rFonts w:ascii="Times New Roman" w:hAnsi="Times New Roman" w:cs="Times New Roman"/>
          <w:sz w:val="24"/>
          <w:szCs w:val="24"/>
        </w:rPr>
        <w:t xml:space="preserve"> д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062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62A7">
        <w:rPr>
          <w:rFonts w:ascii="Times New Roman" w:hAnsi="Times New Roman" w:cs="Times New Roman"/>
          <w:sz w:val="24"/>
          <w:szCs w:val="24"/>
        </w:rPr>
        <w:t xml:space="preserve"> </w:t>
      </w:r>
      <w:r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тел. 8-800-505-80-32; у ОТ: 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20464E" w:rsidRPr="007062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062A7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2A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0464E"/>
    <w:rsid w:val="002C3A2C"/>
    <w:rsid w:val="00360DC6"/>
    <w:rsid w:val="003E6C81"/>
    <w:rsid w:val="0043622C"/>
    <w:rsid w:val="00495D59"/>
    <w:rsid w:val="004B74A7"/>
    <w:rsid w:val="005459F1"/>
    <w:rsid w:val="00555595"/>
    <w:rsid w:val="005742CC"/>
    <w:rsid w:val="0058046C"/>
    <w:rsid w:val="005A7B49"/>
    <w:rsid w:val="005F1F68"/>
    <w:rsid w:val="00621553"/>
    <w:rsid w:val="00655998"/>
    <w:rsid w:val="007058CC"/>
    <w:rsid w:val="007062A7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A8D23CB-60A0-4618-A9B4-A8D7901A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38</cp:revision>
  <cp:lastPrinted>2023-04-10T14:17:00Z</cp:lastPrinted>
  <dcterms:created xsi:type="dcterms:W3CDTF">2019-07-23T07:53:00Z</dcterms:created>
  <dcterms:modified xsi:type="dcterms:W3CDTF">2023-04-10T14:20:00Z</dcterms:modified>
</cp:coreProperties>
</file>