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A6E1" w14:textId="77777777" w:rsidR="00434D1E" w:rsidRPr="00224F8A" w:rsidRDefault="00434D1E" w:rsidP="00434D1E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</w:p>
    <w:p w14:paraId="5B08B58B" w14:textId="77777777" w:rsidR="00434D1E" w:rsidRPr="00224F8A" w:rsidRDefault="00434D1E" w:rsidP="00434D1E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3ED24C53" w14:textId="67FA4F6A" w:rsidR="00846E4D" w:rsidRPr="00434D1E" w:rsidRDefault="00434D1E" w:rsidP="00434D1E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224F8A" w:rsidRDefault="001D7929" w:rsidP="00434D1E">
      <w:pPr>
        <w:pStyle w:val="a3"/>
        <w:jc w:val="left"/>
        <w:rPr>
          <w:rFonts w:ascii="Verdana" w:hAnsi="Verdana"/>
          <w:b/>
          <w:sz w:val="20"/>
        </w:rPr>
      </w:pPr>
    </w:p>
    <w:p w14:paraId="4BC58E20" w14:textId="0B43028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24C4070D" w14:textId="77777777" w:rsidR="00434D1E" w:rsidRPr="00224F8A" w:rsidRDefault="00434D1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6E24ABEB" w:rsidR="00B83979" w:rsidRPr="008509DF" w:rsidRDefault="00434D1E" w:rsidP="00434D1E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7C44EA" w14:textId="2F7A732C" w:rsidR="00F56FF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34D1E" w:rsidRPr="00224F8A">
        <w:rPr>
          <w:rFonts w:ascii="Verdana" w:hAnsi="Verdana" w:cs="Tms Rmn"/>
          <w:sz w:val="20"/>
          <w:szCs w:val="20"/>
        </w:rPr>
        <w:t>Протокола</w:t>
      </w:r>
      <w:r w:rsidR="00255BA5">
        <w:rPr>
          <w:rFonts w:ascii="Verdana" w:hAnsi="Verdana" w:cs="Tms Rmn"/>
          <w:sz w:val="20"/>
          <w:szCs w:val="20"/>
        </w:rPr>
        <w:t xml:space="preserve"> о </w:t>
      </w:r>
      <w:r w:rsidR="00255BA5" w:rsidRPr="00255BA5">
        <w:rPr>
          <w:rFonts w:ascii="Verdana" w:hAnsi="Verdana" w:cs="Tms Rmn"/>
          <w:sz w:val="20"/>
          <w:szCs w:val="20"/>
        </w:rPr>
        <w:t>результатах проведения процедуры торгов</w:t>
      </w:r>
      <w:r w:rsidR="00434D1E">
        <w:rPr>
          <w:rFonts w:ascii="Verdana" w:hAnsi="Verdana" w:cs="Tms Rmn"/>
          <w:sz w:val="20"/>
          <w:szCs w:val="20"/>
        </w:rPr>
        <w:t xml:space="preserve"> №__ от __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4774D5" w14:textId="77777777" w:rsidR="00520C3F" w:rsidRPr="008509DF" w:rsidRDefault="00520C3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D52EFC2" w14:textId="3D89959C" w:rsidR="00520C3F" w:rsidRPr="00467B94" w:rsidRDefault="00BD7FC5" w:rsidP="00520C3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520C3F">
        <w:rPr>
          <w:rFonts w:ascii="Verdana" w:hAnsi="Verdana" w:cs="Times New Roman"/>
        </w:rPr>
        <w:t>:</w:t>
      </w:r>
    </w:p>
    <w:p w14:paraId="623D4CE6" w14:textId="77777777" w:rsidR="00467B94" w:rsidRPr="00520C3F" w:rsidRDefault="00467B94" w:rsidP="00467B94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bookmarkStart w:id="0" w:name="_Hlk118280011"/>
    </w:p>
    <w:p w14:paraId="5FF8CD6D" w14:textId="7D0B1766" w:rsidR="00520C3F" w:rsidRPr="00520C3F" w:rsidRDefault="00520C3F" w:rsidP="00156CE0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</w:t>
      </w:r>
      <w:r w:rsidR="00BC3B34" w:rsidRPr="00BC3B34">
        <w:rPr>
          <w:rFonts w:ascii="Verdana" w:hAnsi="Verdana" w:cs="Times New Roman"/>
        </w:rPr>
        <w:t xml:space="preserve">480.5 </w:t>
      </w:r>
      <w:r w:rsidRPr="00520C3F">
        <w:rPr>
          <w:rFonts w:ascii="Verdana" w:hAnsi="Verdana" w:cs="Times New Roman"/>
        </w:rPr>
        <w:t xml:space="preserve">кв. м, </w:t>
      </w:r>
      <w:r w:rsidR="00BC3B34" w:rsidRPr="00BC3B34">
        <w:rPr>
          <w:rFonts w:ascii="Verdana" w:hAnsi="Verdana" w:cs="Times New Roman"/>
        </w:rPr>
        <w:t>Этаж № 01</w:t>
      </w:r>
      <w:r w:rsidRPr="00520C3F">
        <w:rPr>
          <w:rFonts w:ascii="Verdana" w:hAnsi="Verdana" w:cs="Times New Roman"/>
        </w:rPr>
        <w:t>, кадастровый №</w:t>
      </w:r>
      <w:r w:rsidR="00BC3B34">
        <w:rPr>
          <w:rFonts w:ascii="Verdana" w:hAnsi="Verdana" w:cs="Times New Roman"/>
        </w:rPr>
        <w:t xml:space="preserve"> </w:t>
      </w:r>
      <w:r w:rsidR="00BC3B34" w:rsidRPr="00BC3B34">
        <w:rPr>
          <w:rFonts w:ascii="Verdana" w:hAnsi="Verdana" w:cs="Times New Roman"/>
        </w:rPr>
        <w:t>26:24:000000:5228</w:t>
      </w:r>
      <w:r w:rsidR="00156CE0">
        <w:rPr>
          <w:rFonts w:ascii="Verdana" w:hAnsi="Verdana" w:cs="Times New Roman"/>
        </w:rPr>
        <w:t>, расположенное</w:t>
      </w:r>
      <w:r w:rsidR="00156CE0" w:rsidRPr="00156CE0">
        <w:rPr>
          <w:rFonts w:ascii="Verdana" w:hAnsi="Verdana" w:cs="Times New Roman"/>
        </w:rPr>
        <w:t xml:space="preserve"> по адресу: Российская Федерация, Ставропольский край, город Минеральные Воды, улица Почтовая, дом 24</w:t>
      </w:r>
      <w:r w:rsidR="00156CE0">
        <w:rPr>
          <w:rFonts w:ascii="Verdana" w:hAnsi="Verdana" w:cs="Times New Roman"/>
        </w:rPr>
        <w:t xml:space="preserve"> (именуемое далее – Объект 1)</w:t>
      </w:r>
      <w:r w:rsidRPr="00520C3F">
        <w:rPr>
          <w:rFonts w:ascii="Verdana" w:hAnsi="Verdana" w:cs="Times New Roman"/>
        </w:rPr>
        <w:t xml:space="preserve"> </w:t>
      </w:r>
    </w:p>
    <w:p w14:paraId="67AC04CE" w14:textId="2D8D9965" w:rsidR="00102044" w:rsidRPr="00BC3B34" w:rsidRDefault="00520C3F" w:rsidP="00156CE0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lastRenderedPageBreak/>
        <w:t xml:space="preserve">Нежилое помещение, общей площадью </w:t>
      </w:r>
      <w:r w:rsidR="00BC3B34" w:rsidRPr="00BC3B34">
        <w:rPr>
          <w:rFonts w:ascii="Verdana" w:hAnsi="Verdana" w:cs="Times New Roman"/>
        </w:rPr>
        <w:t xml:space="preserve">75.9 </w:t>
      </w:r>
      <w:r w:rsidRPr="00520C3F">
        <w:rPr>
          <w:rFonts w:ascii="Verdana" w:hAnsi="Verdana" w:cs="Times New Roman"/>
        </w:rPr>
        <w:t xml:space="preserve">кв. м, </w:t>
      </w:r>
      <w:r w:rsidR="00BC3B34" w:rsidRPr="00BC3B34">
        <w:rPr>
          <w:rFonts w:ascii="Verdana" w:hAnsi="Verdana" w:cs="Times New Roman"/>
        </w:rPr>
        <w:t>Этаж № 01</w:t>
      </w:r>
      <w:r w:rsidRPr="00520C3F">
        <w:rPr>
          <w:rFonts w:ascii="Verdana" w:hAnsi="Verdana" w:cs="Times New Roman"/>
        </w:rPr>
        <w:t>, кадастровый №</w:t>
      </w:r>
      <w:r w:rsidR="00BC3B34">
        <w:rPr>
          <w:rFonts w:ascii="Verdana" w:hAnsi="Verdana" w:cs="Times New Roman"/>
        </w:rPr>
        <w:t xml:space="preserve"> </w:t>
      </w:r>
      <w:r w:rsidR="00BC3B34" w:rsidRPr="00BC3B34">
        <w:rPr>
          <w:rFonts w:ascii="Verdana" w:hAnsi="Verdana" w:cs="Times New Roman"/>
        </w:rPr>
        <w:t>26:24:000000:5227</w:t>
      </w:r>
      <w:r w:rsidR="00156CE0">
        <w:rPr>
          <w:rFonts w:ascii="Verdana" w:hAnsi="Verdana" w:cs="Times New Roman"/>
        </w:rPr>
        <w:t>,</w:t>
      </w:r>
      <w:r w:rsidRPr="00520C3F">
        <w:rPr>
          <w:rFonts w:ascii="Verdana" w:hAnsi="Verdana" w:cs="Times New Roman"/>
        </w:rPr>
        <w:t xml:space="preserve"> </w:t>
      </w:r>
      <w:r w:rsidR="00156CE0" w:rsidRPr="00156CE0">
        <w:rPr>
          <w:rFonts w:ascii="Verdana" w:hAnsi="Verdana" w:cs="Times New Roman"/>
        </w:rPr>
        <w:t>расположенное по адресу: Российская Федерация, Ставропольский край, город Минеральные Воды, улица Почтовая, до</w:t>
      </w:r>
      <w:r w:rsidR="00156CE0">
        <w:rPr>
          <w:rFonts w:ascii="Verdana" w:hAnsi="Verdana" w:cs="Times New Roman"/>
        </w:rPr>
        <w:t>м 24 (именуемое далее – Объект 2</w:t>
      </w:r>
      <w:r w:rsidR="00156CE0" w:rsidRPr="00156CE0">
        <w:rPr>
          <w:rFonts w:ascii="Verdana" w:hAnsi="Verdana" w:cs="Times New Roman"/>
        </w:rPr>
        <w:t>);</w:t>
      </w:r>
    </w:p>
    <w:p w14:paraId="59614EC0" w14:textId="720A1A60" w:rsidR="00102044" w:rsidRDefault="00156CE0" w:rsidP="0010204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Совместно именуемые далее -</w:t>
      </w:r>
      <w:r w:rsidR="00171986" w:rsidRPr="00EA7C21">
        <w:rPr>
          <w:rFonts w:ascii="Verdana" w:hAnsi="Verdana" w:cs="Times New Roman"/>
        </w:rPr>
        <w:t xml:space="preserve"> </w:t>
      </w:r>
      <w:r w:rsidR="00171986" w:rsidRPr="00EA7C21">
        <w:rPr>
          <w:rFonts w:ascii="Verdana" w:hAnsi="Verdana" w:cs="Times New Roman"/>
          <w:b/>
        </w:rPr>
        <w:t>«</w:t>
      </w:r>
      <w:r>
        <w:rPr>
          <w:rFonts w:ascii="Verdana" w:hAnsi="Verdana" w:cs="Times New Roman"/>
          <w:b/>
        </w:rPr>
        <w:t>Н</w:t>
      </w:r>
      <w:r w:rsidR="00171986" w:rsidRPr="00EA7C21">
        <w:rPr>
          <w:rFonts w:ascii="Verdana" w:hAnsi="Verdana" w:cs="Times New Roman"/>
          <w:b/>
        </w:rPr>
        <w:t>едвижимое имущество</w:t>
      </w:r>
      <w:r w:rsidR="00171986" w:rsidRPr="00EA7C21">
        <w:rPr>
          <w:rFonts w:ascii="Verdana" w:hAnsi="Verdana" w:cs="Times New Roman"/>
        </w:rPr>
        <w:t>.</w:t>
      </w:r>
    </w:p>
    <w:p w14:paraId="4E14DC9D" w14:textId="77777777" w:rsidR="00102044" w:rsidRPr="00EA7C21" w:rsidRDefault="00102044" w:rsidP="0010204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bookmarkEnd w:id="0"/>
    <w:p w14:paraId="0BE74752" w14:textId="1EB55BF6" w:rsidR="00467B94" w:rsidRDefault="00467B94" w:rsidP="00467B94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 xml:space="preserve">Недвижимое имущество принадлежит Продавцу на праве </w:t>
      </w:r>
      <w:r w:rsidR="00610461" w:rsidRPr="008509DF">
        <w:rPr>
          <w:rFonts w:ascii="Verdana" w:hAnsi="Verdana"/>
          <w:color w:val="000000" w:themeColor="text1"/>
        </w:rPr>
        <w:t>собственности,</w:t>
      </w:r>
      <w:r w:rsidRPr="008509DF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</w:t>
      </w:r>
      <w:r w:rsidR="00156CE0">
        <w:rPr>
          <w:rFonts w:ascii="Verdana" w:hAnsi="Verdana"/>
          <w:color w:val="000000" w:themeColor="text1"/>
        </w:rPr>
        <w:t xml:space="preserve"> права собственности на Объект 1  </w:t>
      </w:r>
    </w:p>
    <w:p w14:paraId="5276DE22" w14:textId="3011594E" w:rsidR="00467B94" w:rsidRPr="00696034" w:rsidRDefault="00BC3B34" w:rsidP="00821DFE">
      <w:pPr>
        <w:pStyle w:val="ConsNormal"/>
        <w:widowControl/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 w:rsidRPr="00696034">
        <w:rPr>
          <w:rFonts w:ascii="Verdana" w:hAnsi="Verdana"/>
          <w:color w:val="000000" w:themeColor="text1"/>
        </w:rPr>
        <w:t>№ 26-26-24/015/2007-191 от 21.06.2007</w:t>
      </w:r>
      <w:r w:rsidR="00467B94" w:rsidRPr="00696034">
        <w:rPr>
          <w:rFonts w:ascii="Verdana" w:hAnsi="Verdana"/>
          <w:color w:val="000000" w:themeColor="text1"/>
        </w:rPr>
        <w:t xml:space="preserve">., что подтверждается Выпиской из Единого государственного реестра недвижимости № </w:t>
      </w:r>
      <w:r w:rsidR="00696034" w:rsidRPr="00696034">
        <w:rPr>
          <w:rFonts w:ascii="Verdana" w:hAnsi="Verdana"/>
          <w:color w:val="000000" w:themeColor="text1"/>
        </w:rPr>
        <w:t xml:space="preserve">99/2022/497610987 </w:t>
      </w:r>
      <w:r w:rsidR="00467B94" w:rsidRPr="00696034">
        <w:rPr>
          <w:rFonts w:ascii="Verdana" w:hAnsi="Verdana"/>
          <w:color w:val="000000" w:themeColor="text1"/>
        </w:rPr>
        <w:t xml:space="preserve">от </w:t>
      </w:r>
      <w:r w:rsidR="00696034" w:rsidRPr="00696034">
        <w:rPr>
          <w:rFonts w:ascii="Verdana" w:hAnsi="Verdana"/>
          <w:color w:val="000000" w:themeColor="text1"/>
        </w:rPr>
        <w:t xml:space="preserve">04.10.2022 </w:t>
      </w:r>
      <w:r w:rsidR="00467B94" w:rsidRPr="00696034">
        <w:rPr>
          <w:rFonts w:ascii="Verdana" w:hAnsi="Verdana"/>
          <w:color w:val="000000" w:themeColor="text1"/>
        </w:rPr>
        <w:t>г.</w:t>
      </w:r>
      <w:r w:rsidR="00E77D79" w:rsidRPr="00696034">
        <w:rPr>
          <w:rFonts w:ascii="Verdana" w:hAnsi="Verdana"/>
          <w:color w:val="000000" w:themeColor="text1"/>
        </w:rPr>
        <w:t>;</w:t>
      </w:r>
      <w:r w:rsidR="00610461">
        <w:rPr>
          <w:rFonts w:ascii="Verdana" w:hAnsi="Verdana"/>
          <w:color w:val="000000" w:themeColor="text1"/>
        </w:rPr>
        <w:t xml:space="preserve"> </w:t>
      </w:r>
      <w:r w:rsidR="00156CE0">
        <w:rPr>
          <w:rFonts w:ascii="Verdana" w:hAnsi="Verdana"/>
          <w:color w:val="000000" w:themeColor="text1"/>
        </w:rPr>
        <w:t xml:space="preserve">на Объект </w:t>
      </w:r>
      <w:proofErr w:type="gramStart"/>
      <w:r w:rsidR="00156CE0">
        <w:rPr>
          <w:rFonts w:ascii="Verdana" w:hAnsi="Verdana"/>
          <w:color w:val="000000" w:themeColor="text1"/>
        </w:rPr>
        <w:t xml:space="preserve">2 </w:t>
      </w:r>
      <w:r w:rsidR="00E77D79" w:rsidRPr="00696034">
        <w:rPr>
          <w:rFonts w:ascii="Verdana" w:hAnsi="Verdana"/>
          <w:color w:val="000000" w:themeColor="text1"/>
        </w:rPr>
        <w:t xml:space="preserve"> </w:t>
      </w:r>
      <w:r w:rsidR="00696034" w:rsidRPr="00696034">
        <w:rPr>
          <w:rFonts w:ascii="Verdana" w:hAnsi="Verdana"/>
          <w:color w:val="000000" w:themeColor="text1"/>
        </w:rPr>
        <w:t>№</w:t>
      </w:r>
      <w:proofErr w:type="gramEnd"/>
      <w:r w:rsidR="00696034" w:rsidRPr="00696034">
        <w:rPr>
          <w:rFonts w:ascii="Verdana" w:hAnsi="Verdana"/>
          <w:color w:val="000000" w:themeColor="text1"/>
        </w:rPr>
        <w:t xml:space="preserve"> 26-26-24/015/2007-193 от 21.06.2007 </w:t>
      </w:r>
      <w:r w:rsidR="00E77D79" w:rsidRPr="00696034">
        <w:rPr>
          <w:rFonts w:ascii="Verdana" w:hAnsi="Verdana"/>
          <w:color w:val="000000" w:themeColor="text1"/>
        </w:rPr>
        <w:t xml:space="preserve">г., что подтверждается Выпиской из Единого государственного реестра недвижимости № </w:t>
      </w:r>
      <w:r w:rsidR="00696034" w:rsidRPr="00696034">
        <w:rPr>
          <w:rFonts w:ascii="Verdana" w:hAnsi="Verdana"/>
          <w:color w:val="000000" w:themeColor="text1"/>
        </w:rPr>
        <w:t xml:space="preserve">99/2022/497610283 </w:t>
      </w:r>
      <w:r w:rsidR="00E77D79" w:rsidRPr="00696034">
        <w:rPr>
          <w:rFonts w:ascii="Verdana" w:hAnsi="Verdana"/>
          <w:color w:val="000000" w:themeColor="text1"/>
        </w:rPr>
        <w:t>от 04.10.2022 г.</w:t>
      </w:r>
    </w:p>
    <w:p w14:paraId="6EA213C6" w14:textId="4DCA3642" w:rsidR="00CF10DB" w:rsidRPr="00EA7C21" w:rsidRDefault="00661B45" w:rsidP="00516B20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/>
        </w:rPr>
      </w:pPr>
      <w:r w:rsidRPr="00EA7C21">
        <w:rPr>
          <w:rFonts w:ascii="Verdana" w:hAnsi="Verdana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</w:t>
      </w:r>
      <w:r w:rsidR="004911BD" w:rsidRPr="00EA7C21">
        <w:rPr>
          <w:rFonts w:ascii="Verdana" w:hAnsi="Verdana"/>
        </w:rPr>
        <w:t>располагается недвижимое имущество.</w:t>
      </w:r>
    </w:p>
    <w:p w14:paraId="5ADD95C1" w14:textId="77777777" w:rsidR="00171986" w:rsidRPr="00EA7C21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EA7C21">
        <w:rPr>
          <w:rFonts w:ascii="Verdana" w:hAnsi="Verdana" w:cs="Times New Roman"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7E509C0" w14:textId="77777777" w:rsidR="00516B20" w:rsidRDefault="00516B20" w:rsidP="00516B20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8E4EF5E" w14:textId="505D4F93" w:rsidR="00930C3B" w:rsidRDefault="00516B20" w:rsidP="00516B2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</w:t>
      </w:r>
      <w:r w:rsidR="00696034">
        <w:rPr>
          <w:rFonts w:ascii="Verdana" w:hAnsi="Verdana" w:cs="Verdana"/>
          <w:color w:val="000000"/>
          <w:sz w:val="20"/>
          <w:szCs w:val="20"/>
        </w:rPr>
        <w:t>механизмы</w:t>
      </w:r>
      <w:r>
        <w:rPr>
          <w:rFonts w:ascii="Verdana" w:hAnsi="Verdana" w:cs="Verdana"/>
          <w:color w:val="000000"/>
          <w:sz w:val="20"/>
          <w:szCs w:val="20"/>
        </w:rPr>
        <w:t xml:space="preserve">), обеспечивающие имущество, ознакомлен с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тем, </w:t>
      </w:r>
      <w:r w:rsidR="00E97846" w:rsidRPr="00821DFE">
        <w:rPr>
          <w:rFonts w:ascii="Verdana" w:hAnsi="Verdana" w:cs="Verdana"/>
          <w:color w:val="000000"/>
          <w:sz w:val="20"/>
          <w:szCs w:val="20"/>
          <w:shd w:val="clear" w:color="auto" w:fill="FFFFFF" w:themeFill="background1"/>
        </w:rPr>
        <w:t>что внешние и внутренние коммуникации, системы пожаротушения и сигнализации, лифтовые и другие механизмы отсутствуют,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, изучил документацию на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недвижимое </w:t>
      </w:r>
      <w:r>
        <w:rPr>
          <w:rFonts w:ascii="Verdana" w:hAnsi="Verdana" w:cs="Verdana"/>
          <w:color w:val="000000"/>
          <w:sz w:val="20"/>
          <w:szCs w:val="20"/>
        </w:rPr>
        <w:t xml:space="preserve">имущество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</w:t>
      </w:r>
      <w:r w:rsidR="00E97846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Недвижимое имущество соответствует требованиям Покупателя, </w:t>
      </w:r>
      <w:r>
        <w:rPr>
          <w:rFonts w:ascii="Verdana" w:hAnsi="Verdana" w:cs="Verdana"/>
          <w:color w:val="000000"/>
          <w:sz w:val="20"/>
          <w:szCs w:val="20"/>
        </w:rPr>
        <w:t>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к документации на недвижимое имущество </w:t>
      </w:r>
      <w:r>
        <w:rPr>
          <w:rFonts w:ascii="Verdana" w:hAnsi="Verdana" w:cs="Verdana"/>
          <w:color w:val="000000"/>
          <w:sz w:val="20"/>
          <w:szCs w:val="20"/>
        </w:rPr>
        <w:t xml:space="preserve">Покупатель к Продавцу не имеет. Покупатель </w:t>
      </w:r>
      <w:r w:rsidRPr="000E1645">
        <w:rPr>
          <w:rFonts w:ascii="Verdana" w:hAnsi="Verdana" w:cs="Verdana"/>
          <w:color w:val="000000"/>
          <w:sz w:val="20"/>
          <w:szCs w:val="20"/>
        </w:rPr>
        <w:t xml:space="preserve">подтверждает, что ознакомился с документацией на недвижимое имущество </w:t>
      </w:r>
      <w:r>
        <w:rPr>
          <w:rFonts w:ascii="Verdana" w:hAnsi="Verdana" w:cs="Verdana"/>
          <w:color w:val="000000"/>
          <w:sz w:val="20"/>
          <w:szCs w:val="20"/>
        </w:rPr>
        <w:t>до подписания настоящего Договора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4F8605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66C2555" w14:textId="77777777" w:rsidR="001162AF" w:rsidRPr="008509DF" w:rsidRDefault="001162AF" w:rsidP="001162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CD2870" w14:textId="77777777" w:rsidR="00866425" w:rsidRDefault="001162AF" w:rsidP="0086642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Pr="00C23FDB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законодательством)</w:t>
      </w:r>
      <w:r w:rsidR="00866425">
        <w:rPr>
          <w:rFonts w:ascii="Verdana" w:hAnsi="Verdana"/>
        </w:rPr>
        <w:t>:</w:t>
      </w:r>
    </w:p>
    <w:p w14:paraId="0A8107A4" w14:textId="6F2FE826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696034">
        <w:rPr>
          <w:rFonts w:ascii="Verdana" w:hAnsi="Verdana"/>
        </w:rPr>
        <w:t>«</w:t>
      </w:r>
      <w:r w:rsidRPr="00866425">
        <w:rPr>
          <w:rFonts w:ascii="Verdana" w:hAnsi="Verdana"/>
        </w:rPr>
        <w:t>Объекта 1</w:t>
      </w:r>
      <w:r w:rsidR="00696034">
        <w:rPr>
          <w:rFonts w:ascii="Verdana" w:hAnsi="Verdana"/>
        </w:rPr>
        <w:t>»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60E8EE52" w14:textId="6AF4B7D6" w:rsidR="00866425" w:rsidRDefault="00866425" w:rsidP="00301790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696034">
        <w:rPr>
          <w:rFonts w:ascii="Verdana" w:hAnsi="Verdana"/>
        </w:rPr>
        <w:t>«</w:t>
      </w:r>
      <w:r w:rsidRPr="00866425">
        <w:rPr>
          <w:rFonts w:ascii="Verdana" w:hAnsi="Verdana"/>
        </w:rPr>
        <w:t xml:space="preserve">Объекта </w:t>
      </w:r>
      <w:r>
        <w:rPr>
          <w:rFonts w:ascii="Verdana" w:hAnsi="Verdana"/>
        </w:rPr>
        <w:t>2</w:t>
      </w:r>
      <w:r w:rsidR="00696034">
        <w:rPr>
          <w:rFonts w:ascii="Verdana" w:hAnsi="Verdana"/>
        </w:rPr>
        <w:t>»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2384FB81" w14:textId="77777777" w:rsidR="00301790" w:rsidRPr="00301790" w:rsidRDefault="00301790" w:rsidP="00301790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</w:p>
    <w:p w14:paraId="37B85044" w14:textId="77777777" w:rsidR="001162AF" w:rsidRPr="007051FF" w:rsidRDefault="001162AF" w:rsidP="001162AF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1162AF" w:rsidRPr="007051FF" w14:paraId="5F023192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34EC160C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60169FED" w14:textId="77777777" w:rsidR="001162AF" w:rsidRPr="007051FF" w:rsidRDefault="001162AF" w:rsidP="00D66C2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1162AF" w:rsidRPr="0055668A" w14:paraId="49C6322D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72348C25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64F16D09" w14:textId="77777777" w:rsidR="001162AF" w:rsidRDefault="001162AF" w:rsidP="00D66C2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CF0ED61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1CF666C" w14:textId="77777777" w:rsidR="001162A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C99224F" w14:textId="77777777" w:rsidR="001162AF" w:rsidRPr="007051F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1DFE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</w:t>
            </w:r>
            <w:r w:rsidRPr="00151B9B">
              <w:rPr>
                <w:rFonts w:ascii="Verdana" w:hAnsi="Verdana" w:cs="Arial"/>
                <w:sz w:val="20"/>
                <w:szCs w:val="20"/>
              </w:rPr>
              <w:t xml:space="preserve">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6918562" w14:textId="7D1E5F56" w:rsidR="001162AF" w:rsidRPr="001162AF" w:rsidRDefault="001162AF" w:rsidP="001162AF">
      <w:pPr>
        <w:pStyle w:val="a5"/>
        <w:numPr>
          <w:ilvl w:val="1"/>
          <w:numId w:val="27"/>
        </w:numPr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1162AF" w:rsidRPr="008509DF" w14:paraId="688D5044" w14:textId="77777777" w:rsidTr="00D66C26">
        <w:trPr>
          <w:trHeight w:val="1004"/>
        </w:trPr>
        <w:tc>
          <w:tcPr>
            <w:tcW w:w="1843" w:type="dxa"/>
            <w:shd w:val="clear" w:color="auto" w:fill="auto"/>
          </w:tcPr>
          <w:p w14:paraId="77B6FB8E" w14:textId="77777777" w:rsidR="001162AF" w:rsidRPr="008509DF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41DD7990" w14:textId="77777777" w:rsidR="001162AF" w:rsidRPr="008509DF" w:rsidRDefault="001162AF" w:rsidP="00D66C2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1162AF" w:rsidRPr="00821DFE" w14:paraId="78B2F18C" w14:textId="77777777" w:rsidTr="00D66C26">
        <w:trPr>
          <w:trHeight w:val="1459"/>
        </w:trPr>
        <w:tc>
          <w:tcPr>
            <w:tcW w:w="1843" w:type="dxa"/>
            <w:shd w:val="clear" w:color="auto" w:fill="auto"/>
          </w:tcPr>
          <w:p w14:paraId="104D416F" w14:textId="77777777" w:rsidR="001162AF" w:rsidRPr="00821DFE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1DF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ED3F50B" w14:textId="77777777" w:rsidR="001162AF" w:rsidRPr="00821DFE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1DF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246CB044" w14:textId="77777777" w:rsidR="001162AF" w:rsidRPr="00821DFE" w:rsidRDefault="001162AF" w:rsidP="00D66C26">
            <w:pPr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1DF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2.2.1.(Б) в течение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</w:t>
            </w:r>
          </w:p>
        </w:tc>
      </w:tr>
    </w:tbl>
    <w:p w14:paraId="03E987B1" w14:textId="35461D48" w:rsidR="001162AF" w:rsidRPr="00821DFE" w:rsidRDefault="001162AF" w:rsidP="00DB7B09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bookmarkStart w:id="1" w:name="_GoBack"/>
      <w:r w:rsidRPr="00821DFE">
        <w:rPr>
          <w:rFonts w:eastAsia="Times New Roman" w:cs="Times New Roman"/>
          <w:color w:val="auto"/>
          <w:sz w:val="20"/>
          <w:szCs w:val="20"/>
          <w:lang w:eastAsia="ru-RU"/>
        </w:rPr>
        <w:t xml:space="preserve">2.2.2. Задаток, внесенный Покупателем для участия в аукционе в размере </w:t>
      </w:r>
      <w:r w:rsidR="00696034" w:rsidRPr="00821DFE">
        <w:rPr>
          <w:rFonts w:eastAsia="Times New Roman" w:cs="Times New Roman"/>
          <w:color w:val="auto"/>
          <w:sz w:val="20"/>
          <w:szCs w:val="20"/>
          <w:lang w:eastAsia="ru-RU"/>
        </w:rPr>
        <w:t>1 044 400</w:t>
      </w:r>
      <w:r w:rsidR="002E6EA2" w:rsidRPr="00821DFE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Pr="00821DFE">
        <w:rPr>
          <w:rFonts w:eastAsia="Times New Roman" w:cs="Times New Roman"/>
          <w:color w:val="auto"/>
          <w:sz w:val="20"/>
          <w:szCs w:val="20"/>
          <w:lang w:eastAsia="ru-RU"/>
        </w:rPr>
        <w:t>(</w:t>
      </w:r>
      <w:r w:rsidR="00696034" w:rsidRPr="00821DFE">
        <w:rPr>
          <w:rFonts w:eastAsia="Times New Roman" w:cs="Times New Roman"/>
          <w:color w:val="auto"/>
          <w:sz w:val="20"/>
          <w:szCs w:val="20"/>
          <w:lang w:eastAsia="ru-RU"/>
        </w:rPr>
        <w:t>Один миллион четыреста сорок четыре тысячи четыреста</w:t>
      </w:r>
      <w:r w:rsidRPr="00821DFE">
        <w:rPr>
          <w:rFonts w:eastAsia="Times New Roman" w:cs="Times New Roman"/>
          <w:color w:val="auto"/>
          <w:sz w:val="20"/>
          <w:szCs w:val="20"/>
          <w:lang w:eastAsia="ru-RU"/>
        </w:rPr>
        <w:t>) рубл</w:t>
      </w:r>
      <w:r w:rsidR="009E4E42" w:rsidRPr="00821DFE">
        <w:rPr>
          <w:rFonts w:eastAsia="Times New Roman" w:cs="Times New Roman"/>
          <w:color w:val="auto"/>
          <w:sz w:val="20"/>
          <w:szCs w:val="20"/>
          <w:lang w:eastAsia="ru-RU"/>
        </w:rPr>
        <w:t>ей</w:t>
      </w:r>
      <w:r w:rsidRPr="00821DFE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2E6EA2" w:rsidRPr="00821DFE">
        <w:rPr>
          <w:rFonts w:eastAsia="Times New Roman" w:cs="Times New Roman"/>
          <w:color w:val="auto"/>
          <w:sz w:val="20"/>
          <w:szCs w:val="20"/>
          <w:lang w:eastAsia="ru-RU"/>
        </w:rPr>
        <w:t>00</w:t>
      </w:r>
      <w:r w:rsidRPr="00821DF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копеек (в том числе НДС, исчисленный в соответствии с действующим законодательством), </w:t>
      </w:r>
      <w:r w:rsidR="00DB7B09" w:rsidRPr="00821DFE">
        <w:rPr>
          <w:rFonts w:eastAsia="Times New Roman" w:cs="Times New Roman"/>
          <w:color w:val="auto"/>
          <w:sz w:val="20"/>
          <w:szCs w:val="20"/>
          <w:lang w:eastAsia="ru-RU"/>
        </w:rPr>
        <w:t xml:space="preserve">засчитывается в счет Обеспечительного платежа Покупателя в пользу Продавца (ст. 381.1 ГК РФ). </w:t>
      </w:r>
    </w:p>
    <w:p w14:paraId="3CDEA9BC" w14:textId="3018E10E" w:rsidR="00DB7B09" w:rsidRPr="00821DFE" w:rsidRDefault="00DB7B09" w:rsidP="00DB7B09">
      <w:pPr>
        <w:pStyle w:val="a5"/>
        <w:numPr>
          <w:ilvl w:val="2"/>
          <w:numId w:val="40"/>
        </w:numPr>
        <w:adjustRightInd w:val="0"/>
        <w:jc w:val="both"/>
        <w:rPr>
          <w:rFonts w:ascii="Verdana" w:hAnsi="Verdana"/>
        </w:rPr>
      </w:pPr>
      <w:r w:rsidRPr="00821DF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821DFE">
        <w:rPr>
          <w:rFonts w:ascii="Verdana" w:hAnsi="Verdana"/>
        </w:rPr>
        <w:t>п.п</w:t>
      </w:r>
      <w:proofErr w:type="spellEnd"/>
      <w:r w:rsidRPr="00821DFE">
        <w:rPr>
          <w:rFonts w:ascii="Verdana" w:hAnsi="Verdana"/>
        </w:rPr>
        <w:t>. 2.2.1 (Б) Договора), в том числе обязанность возместить убытки или уплатить неустойку в случае нарушения Договора (</w:t>
      </w:r>
      <w:proofErr w:type="spellStart"/>
      <w:r w:rsidRPr="00821DFE">
        <w:rPr>
          <w:rFonts w:ascii="Verdana" w:hAnsi="Verdana"/>
        </w:rPr>
        <w:t>п.п</w:t>
      </w:r>
      <w:proofErr w:type="spellEnd"/>
      <w:r w:rsidRPr="00821DFE">
        <w:rPr>
          <w:rFonts w:ascii="Verdana" w:hAnsi="Verdana"/>
        </w:rPr>
        <w:t xml:space="preserve">. 6.1, 6.2 Договора). 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___________ (_____________) рублей ___ копеек (в том числе НДС, исчисленный в соответствии с действующим законодательством/НДС не облагается) </w:t>
      </w:r>
    </w:p>
    <w:p w14:paraId="5DDE1F5B" w14:textId="435B174A" w:rsidR="00DB7B09" w:rsidRPr="00821DFE" w:rsidRDefault="00DB7B09" w:rsidP="00DB7B09">
      <w:pPr>
        <w:pStyle w:val="a5"/>
        <w:numPr>
          <w:ilvl w:val="2"/>
          <w:numId w:val="40"/>
        </w:numPr>
        <w:adjustRightInd w:val="0"/>
        <w:jc w:val="both"/>
        <w:rPr>
          <w:rFonts w:ascii="Verdana" w:hAnsi="Verdana"/>
        </w:rPr>
      </w:pPr>
      <w:r w:rsidRPr="00821DFE">
        <w:rPr>
          <w:rFonts w:ascii="Verdana" w:hAnsi="Verdana"/>
        </w:rPr>
        <w:t xml:space="preserve"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 </w:t>
      </w:r>
    </w:p>
    <w:bookmarkEnd w:id="1"/>
    <w:p w14:paraId="31074048" w14:textId="77777777" w:rsidR="001162AF" w:rsidRPr="008509D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7E39DFB9" w14:textId="77777777" w:rsidR="001162AF" w:rsidRPr="008509D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0D48A6AF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</w:p>
    <w:p w14:paraId="372F3F66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162AF" w:rsidRPr="008509DF" w14:paraId="11163617" w14:textId="77777777" w:rsidTr="00D66C26">
        <w:tc>
          <w:tcPr>
            <w:tcW w:w="2757" w:type="dxa"/>
            <w:shd w:val="clear" w:color="auto" w:fill="auto"/>
          </w:tcPr>
          <w:p w14:paraId="2A9FEBE5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42980BD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573CB69D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F368AB6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A74549C" w14:textId="77777777" w:rsidR="001162AF" w:rsidRPr="00672CCD" w:rsidRDefault="001162AF" w:rsidP="00D66C2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BDEE579" w14:textId="77777777" w:rsidR="001162AF" w:rsidRPr="008509DF" w:rsidRDefault="001162AF" w:rsidP="00D66C2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162AF" w:rsidRPr="008509DF" w14:paraId="47F9A643" w14:textId="77777777" w:rsidTr="00D66C26">
        <w:tc>
          <w:tcPr>
            <w:tcW w:w="2757" w:type="dxa"/>
            <w:shd w:val="clear" w:color="auto" w:fill="auto"/>
          </w:tcPr>
          <w:p w14:paraId="1C25CFBF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19F9F7C" w14:textId="5C74D33F" w:rsidR="001162AF" w:rsidRPr="008509DF" w:rsidRDefault="001162AF" w:rsidP="00D66C2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</w:t>
            </w:r>
            <w:r w:rsidRPr="008509DF">
              <w:rPr>
                <w:rFonts w:ascii="Verdana" w:hAnsi="Verdana"/>
                <w:i/>
                <w:color w:val="FF0000"/>
              </w:rPr>
              <w:lastRenderedPageBreak/>
              <w:t>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3B654BB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54DD4700" w14:textId="77777777" w:rsidR="001162AF" w:rsidRPr="00672CC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Недвижимое имущество признается не находящимся в залоге у Продавца для обеспечения исполнения Покупателем 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79520BA" w14:textId="77777777" w:rsidR="001162AF" w:rsidRDefault="001162AF" w:rsidP="00425F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19BA56" w14:textId="77777777" w:rsidR="00516B20" w:rsidRPr="008509DF" w:rsidRDefault="00516B20" w:rsidP="00516B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3999E48" w14:textId="2A2118FE" w:rsidR="00A24C91" w:rsidRPr="001162AF" w:rsidRDefault="00A24C91" w:rsidP="001162AF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162AF">
        <w:rPr>
          <w:rFonts w:ascii="Verdana" w:hAnsi="Verdana"/>
          <w:b/>
        </w:rPr>
        <w:t>ПЕРЕДАЧА ИМУЩЕСТВА</w:t>
      </w:r>
    </w:p>
    <w:p w14:paraId="1E41DD0E" w14:textId="77777777" w:rsidR="001162AF" w:rsidRPr="008076AD" w:rsidRDefault="001162AF" w:rsidP="001162A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CA1BA1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приема-передачи. В случае расторжения Договора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6792DC82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3D85FE1B" w:rsidR="00CE777E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8722E92" w14:textId="77777777" w:rsidR="001162A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FBFA90" w14:textId="77777777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rPr>
          <w:rFonts w:ascii="Verdana" w:hAnsi="Verdana"/>
        </w:rPr>
      </w:pPr>
      <w:r w:rsidRPr="001162AF">
        <w:rPr>
          <w:rFonts w:ascii="Verdana" w:hAnsi="Verdana"/>
        </w:rPr>
        <w:t>4.1. Продавец обязан:</w:t>
      </w:r>
    </w:p>
    <w:p w14:paraId="5DD41D92" w14:textId="2A15D8C8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jc w:val="both"/>
        <w:rPr>
          <w:rFonts w:ascii="Verdana" w:hAnsi="Verdana"/>
        </w:rPr>
      </w:pPr>
      <w:r w:rsidRPr="001162AF">
        <w:rPr>
          <w:rFonts w:ascii="Verdana" w:hAnsi="Verdana"/>
        </w:rPr>
        <w:t xml:space="preserve">4.1.1. Передать Покупателю в собственность недвижимое имущество, указанное в п. </w:t>
      </w:r>
      <w:r w:rsidR="00750FE1">
        <w:rPr>
          <w:rFonts w:ascii="Verdana" w:hAnsi="Verdana"/>
        </w:rPr>
        <w:t xml:space="preserve">1.1 </w:t>
      </w:r>
      <w:r w:rsidRPr="001162AF">
        <w:rPr>
          <w:rFonts w:ascii="Verdana" w:hAnsi="Verdana"/>
        </w:rPr>
        <w:t>Договора.</w:t>
      </w:r>
      <w:r w:rsidRPr="001162AF">
        <w:rPr>
          <w:rFonts w:ascii="Verdana" w:hAnsi="Verdana"/>
          <w:i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162AF" w:rsidRPr="008509DF" w14:paraId="5C957288" w14:textId="77777777" w:rsidTr="00D66C26">
        <w:trPr>
          <w:trHeight w:val="693"/>
        </w:trPr>
        <w:tc>
          <w:tcPr>
            <w:tcW w:w="2728" w:type="dxa"/>
            <w:shd w:val="clear" w:color="auto" w:fill="auto"/>
          </w:tcPr>
          <w:p w14:paraId="2D7F423B" w14:textId="77777777" w:rsidR="001162AF" w:rsidRPr="008509D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61CA342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13AFDBF1" w14:textId="77777777" w:rsidR="001162AF" w:rsidRPr="00672CCD" w:rsidRDefault="001162AF" w:rsidP="00D66C2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7D2B485C" w14:textId="72529CA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rPr>
          <w:rFonts w:ascii="Verdana" w:hAnsi="Verdana"/>
        </w:rPr>
      </w:pPr>
      <w:r w:rsidRPr="001162AF">
        <w:rPr>
          <w:rFonts w:ascii="Verdana" w:hAnsi="Verdana"/>
        </w:rPr>
        <w:t xml:space="preserve">4.2. Покупатель обязан: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1162AF" w:rsidRPr="008509DF" w14:paraId="2C9A6D40" w14:textId="77777777" w:rsidTr="00D66C26">
        <w:tc>
          <w:tcPr>
            <w:tcW w:w="2836" w:type="dxa"/>
          </w:tcPr>
          <w:p w14:paraId="0083F5D3" w14:textId="77777777" w:rsidR="001162AF" w:rsidRPr="008509DF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617A51A1" w14:textId="77777777" w:rsidR="001162AF" w:rsidRPr="00A94BE8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1162AF" w:rsidRPr="008076AD" w14:paraId="5CC8E988" w14:textId="77777777" w:rsidTr="00D66C26">
        <w:tc>
          <w:tcPr>
            <w:tcW w:w="2836" w:type="dxa"/>
          </w:tcPr>
          <w:p w14:paraId="3B5DF46F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E772B68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2B3DB7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i/>
          <w:color w:val="0070C0"/>
        </w:rPr>
      </w:pPr>
    </w:p>
    <w:p w14:paraId="68F6AAD5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4.2.2. Принять недвижимое имущество согласно разделу 3 Договора.</w:t>
      </w:r>
    </w:p>
    <w:p w14:paraId="5A04A856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4.2.3. Перед подписанием Акта приема-передачи осмотреть недвижимое имущество и проверить его состояние.</w:t>
      </w:r>
    </w:p>
    <w:p w14:paraId="7FBAC7DA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4.2.4. С даты приема недвижимого имущества по Акту приема-передачи либо с даты 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B91E38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66D21964" w14:textId="5A0B0F2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2524F463" w14:textId="3A9225BF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30 (Тридцати) 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15C03264" w14:textId="08D8EFB5" w:rsidR="001162AF" w:rsidRPr="001162AF" w:rsidRDefault="001162AF" w:rsidP="00E97846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обязуется </w:t>
      </w:r>
      <w:r w:rsidR="00E978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п.2.2, 2.3 Договора в полном объеме/погашения залога в пользу Продавца,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E062667" w14:textId="77777777" w:rsidR="001162AF" w:rsidRPr="00EA7C21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6BC9F6" w14:textId="77777777" w:rsidR="00CE777E" w:rsidRPr="00EA7C2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0B12F114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 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756101DB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CF97EDD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(одна </w:t>
      </w:r>
      <w:r w:rsidR="005B6E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435B47BA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5B6E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DDDC8FF" w14:textId="189954F1" w:rsidR="004B1635" w:rsidRDefault="00617D5E" w:rsidP="00DB7B09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61A243B5" w:rsidR="009304B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0C5A09" w14:textId="77777777" w:rsidR="00AF5700" w:rsidRPr="008509DF" w:rsidRDefault="00AF5700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0092CBD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871B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2100FB1B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871BB0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580AC40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00F18F6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26C29345" w:rsidR="00C76935" w:rsidRPr="0055668A" w:rsidRDefault="00C76935" w:rsidP="00C9046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750FE1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750FE1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750FE1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1F964AB2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FD2B010" w:rsidR="004816A7" w:rsidRPr="008509DF" w:rsidRDefault="00425F00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6BA0C8E2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  <w:r w:rsidR="00425F00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25F00" w:rsidRPr="008509DF" w14:paraId="2EFD7CE5" w14:textId="77777777" w:rsidTr="00120657">
        <w:tc>
          <w:tcPr>
            <w:tcW w:w="2083" w:type="dxa"/>
            <w:shd w:val="clear" w:color="auto" w:fill="auto"/>
          </w:tcPr>
          <w:p w14:paraId="05F1C471" w14:textId="77777777" w:rsidR="00425F00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2F9389" w14:textId="4DAD21AD" w:rsidR="00425F00" w:rsidRPr="008509DF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533B8F83" w14:textId="77777777" w:rsidR="00425F00" w:rsidRPr="008509DF" w:rsidRDefault="00425F00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55FF8" w14:textId="77777777" w:rsidR="000B2348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E95FF6" w14:textId="77777777" w:rsid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D51D26C" w14:textId="7CC6CF3C" w:rsidR="00DD5861" w:rsidRDefault="000B2348" w:rsidP="00CC3B0A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и, </w:t>
      </w:r>
    </w:p>
    <w:p w14:paraId="720919FE" w14:textId="77777777" w:rsidR="000B2348" w:rsidRP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67745A" w14:textId="4311A3AE" w:rsidR="000B2348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6C12999" w14:textId="77777777" w:rsidR="00102044" w:rsidRPr="008509DF" w:rsidRDefault="00102044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299A16" w14:textId="4A0264D9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</w:t>
      </w:r>
      <w:r w:rsidR="000B234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2A63E05" w14:textId="090F0B40" w:rsidR="00793DD9" w:rsidRPr="00520C3F" w:rsidRDefault="00793DD9" w:rsidP="00793DD9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-</w:t>
      </w:r>
      <w:r w:rsidRPr="00520C3F">
        <w:rPr>
          <w:rFonts w:ascii="Verdana" w:hAnsi="Verdana" w:cs="Times New Roman"/>
        </w:rPr>
        <w:t xml:space="preserve">Нежилое помещение, общей площадью </w:t>
      </w:r>
      <w:r w:rsidRPr="00BC3B34">
        <w:rPr>
          <w:rFonts w:ascii="Verdana" w:hAnsi="Verdana" w:cs="Times New Roman"/>
        </w:rPr>
        <w:t xml:space="preserve">480.5 </w:t>
      </w:r>
      <w:r w:rsidRPr="00520C3F">
        <w:rPr>
          <w:rFonts w:ascii="Verdana" w:hAnsi="Verdana" w:cs="Times New Roman"/>
        </w:rPr>
        <w:t xml:space="preserve">кв. м, </w:t>
      </w:r>
      <w:r w:rsidRPr="00BC3B34">
        <w:rPr>
          <w:rFonts w:ascii="Verdana" w:hAnsi="Verdana" w:cs="Times New Roman"/>
        </w:rPr>
        <w:t>Этаж № 01</w:t>
      </w:r>
      <w:r w:rsidRPr="00520C3F">
        <w:rPr>
          <w:rFonts w:ascii="Verdana" w:hAnsi="Verdana" w:cs="Times New Roman"/>
        </w:rPr>
        <w:t>, кадастровый №</w:t>
      </w:r>
      <w:r>
        <w:rPr>
          <w:rFonts w:ascii="Verdana" w:hAnsi="Verdana" w:cs="Times New Roman"/>
        </w:rPr>
        <w:t xml:space="preserve"> </w:t>
      </w:r>
      <w:r w:rsidRPr="00BC3B34">
        <w:rPr>
          <w:rFonts w:ascii="Verdana" w:hAnsi="Verdana" w:cs="Times New Roman"/>
        </w:rPr>
        <w:t>26:24:000000:5228</w:t>
      </w:r>
      <w:r w:rsidRPr="00520C3F">
        <w:rPr>
          <w:rFonts w:ascii="Verdana" w:hAnsi="Verdana" w:cs="Times New Roman"/>
        </w:rPr>
        <w:t xml:space="preserve">; </w:t>
      </w:r>
    </w:p>
    <w:p w14:paraId="2EA60E6C" w14:textId="6EB74CED" w:rsidR="00793DD9" w:rsidRPr="00BC3B34" w:rsidRDefault="00793DD9" w:rsidP="00793DD9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-</w:t>
      </w:r>
      <w:r w:rsidRPr="00520C3F">
        <w:rPr>
          <w:rFonts w:ascii="Verdana" w:hAnsi="Verdana" w:cs="Times New Roman"/>
        </w:rPr>
        <w:t xml:space="preserve">Нежилое помещение, общей площадью </w:t>
      </w:r>
      <w:r w:rsidRPr="00BC3B34">
        <w:rPr>
          <w:rFonts w:ascii="Verdana" w:hAnsi="Verdana" w:cs="Times New Roman"/>
        </w:rPr>
        <w:t xml:space="preserve">75.9 </w:t>
      </w:r>
      <w:r w:rsidRPr="00520C3F">
        <w:rPr>
          <w:rFonts w:ascii="Verdana" w:hAnsi="Verdana" w:cs="Times New Roman"/>
        </w:rPr>
        <w:t xml:space="preserve">кв. м, </w:t>
      </w:r>
      <w:r w:rsidRPr="00BC3B34">
        <w:rPr>
          <w:rFonts w:ascii="Verdana" w:hAnsi="Verdana" w:cs="Times New Roman"/>
        </w:rPr>
        <w:t>Этаж № 01</w:t>
      </w:r>
      <w:r w:rsidRPr="00520C3F">
        <w:rPr>
          <w:rFonts w:ascii="Verdana" w:hAnsi="Verdana" w:cs="Times New Roman"/>
        </w:rPr>
        <w:t>, кадастровый №</w:t>
      </w:r>
      <w:r>
        <w:rPr>
          <w:rFonts w:ascii="Verdana" w:hAnsi="Verdana" w:cs="Times New Roman"/>
        </w:rPr>
        <w:t xml:space="preserve"> </w:t>
      </w:r>
      <w:r w:rsidRPr="00BC3B34">
        <w:rPr>
          <w:rFonts w:ascii="Verdana" w:hAnsi="Verdana" w:cs="Times New Roman"/>
        </w:rPr>
        <w:t>26:24:000000:5227</w:t>
      </w:r>
      <w:r w:rsidRPr="00520C3F">
        <w:rPr>
          <w:rFonts w:ascii="Verdana" w:hAnsi="Verdana" w:cs="Times New Roman"/>
        </w:rPr>
        <w:t xml:space="preserve">; </w:t>
      </w:r>
    </w:p>
    <w:p w14:paraId="58E3B511" w14:textId="7A47F4CD" w:rsidR="00793DD9" w:rsidRDefault="00793DD9" w:rsidP="00793DD9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93DD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Нежилые помещения расположены в здании по адресу: Российская Федерация, </w:t>
      </w:r>
      <w:r w:rsidRPr="00793DD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Ставропольский край, город Минеральные Воды, улица Почтовая, дом 24 (далее именуемое – </w:t>
      </w:r>
      <w:r w:rsidRPr="00793DD9">
        <w:rPr>
          <w:rFonts w:ascii="Verdana" w:eastAsia="Times New Roman" w:hAnsi="Verdana" w:cs="Times New Roman"/>
          <w:b/>
          <w:sz w:val="20"/>
          <w:szCs w:val="20"/>
          <w:lang w:eastAsia="ru-RU"/>
        </w:rPr>
        <w:t>«недвижимое имущество»)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15EBA80" w14:textId="77777777" w:rsidR="00DD5861" w:rsidRPr="008509DF" w:rsidRDefault="00DD5861" w:rsidP="00793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BB71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B71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BB717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ПОКУПАТЕЛЯ:</w:t>
      </w:r>
    </w:p>
    <w:p w14:paraId="58040F74" w14:textId="13CED55F" w:rsidR="009A0232" w:rsidRPr="00102044" w:rsidRDefault="00DD5861" w:rsidP="0010204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AE141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97A3EC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D3AB40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430406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EF9F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D9474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83E11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114F97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85DF87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3E1510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FF2D0B6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9192D3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26EDEF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2014ED9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F82FB11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D01225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025219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B24F019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BEB103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2E8011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2F28805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18BDFE" w14:textId="77777777" w:rsidR="00BB7174" w:rsidRDefault="00BB717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F970050" w14:textId="119881E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 xml:space="preserve">Приложение </w:t>
      </w:r>
      <w:r w:rsidR="00750FE1" w:rsidRPr="0055668A">
        <w:rPr>
          <w:rFonts w:ascii="Verdana" w:hAnsi="Verdana"/>
          <w:sz w:val="20"/>
          <w:szCs w:val="20"/>
        </w:rPr>
        <w:t>№</w:t>
      </w:r>
      <w:r w:rsidR="00750FE1">
        <w:rPr>
          <w:rFonts w:ascii="Verdana" w:hAnsi="Verdana"/>
          <w:sz w:val="20"/>
          <w:szCs w:val="20"/>
        </w:rPr>
        <w:t>1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4D1BF8E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B6ECA">
        <w:rPr>
          <w:rFonts w:ascii="Verdana" w:eastAsia="SimSun" w:hAnsi="Verdana"/>
          <w:color w:val="0070C0"/>
          <w:kern w:val="1"/>
          <w:lang w:eastAsia="hi-IN" w:bidi="hi-IN"/>
        </w:rPr>
        <w:t>60 (шестьдесят)</w:t>
      </w:r>
      <w:r w:rsidR="005B6ECA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4527BFE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8A4D4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</w:t>
      </w:r>
      <w:r w:rsidRPr="000C2791">
        <w:rPr>
          <w:rFonts w:ascii="Verdana" w:hAnsi="Verdana"/>
          <w:i/>
          <w:color w:val="0070C0"/>
        </w:rPr>
        <w:t>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8509DF">
        <w:rPr>
          <w:rFonts w:ascii="Verdana" w:hAnsi="Verdana"/>
        </w:rPr>
        <w:lastRenderedPageBreak/>
        <w:t xml:space="preserve">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0CD517BA" w:rsidR="00686D08" w:rsidRPr="008509DF" w:rsidRDefault="00686D08" w:rsidP="00BB7174">
      <w:pPr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04FC" w14:textId="77777777" w:rsidR="008A2B9D" w:rsidRDefault="008A2B9D" w:rsidP="00E33D4F">
      <w:pPr>
        <w:spacing w:after="0" w:line="240" w:lineRule="auto"/>
      </w:pPr>
      <w:r>
        <w:separator/>
      </w:r>
    </w:p>
  </w:endnote>
  <w:endnote w:type="continuationSeparator" w:id="0">
    <w:p w14:paraId="3A90427A" w14:textId="77777777" w:rsidR="008A2B9D" w:rsidRDefault="008A2B9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3F1EF68" w:rsidR="00520C3F" w:rsidRDefault="00520C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6D">
          <w:rPr>
            <w:noProof/>
          </w:rPr>
          <w:t>11</w:t>
        </w:r>
        <w:r>
          <w:fldChar w:fldCharType="end"/>
        </w:r>
      </w:p>
    </w:sdtContent>
  </w:sdt>
  <w:p w14:paraId="19746260" w14:textId="77777777" w:rsidR="00520C3F" w:rsidRDefault="00520C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7E57" w14:textId="77777777" w:rsidR="008A2B9D" w:rsidRDefault="008A2B9D" w:rsidP="00E33D4F">
      <w:pPr>
        <w:spacing w:after="0" w:line="240" w:lineRule="auto"/>
      </w:pPr>
      <w:r>
        <w:separator/>
      </w:r>
    </w:p>
  </w:footnote>
  <w:footnote w:type="continuationSeparator" w:id="0">
    <w:p w14:paraId="37C81B67" w14:textId="77777777" w:rsidR="008A2B9D" w:rsidRDefault="008A2B9D" w:rsidP="00E33D4F">
      <w:pPr>
        <w:spacing w:after="0" w:line="240" w:lineRule="auto"/>
      </w:pPr>
      <w:r>
        <w:continuationSeparator/>
      </w:r>
    </w:p>
  </w:footnote>
  <w:footnote w:id="1">
    <w:p w14:paraId="0A880166" w14:textId="77777777" w:rsidR="00520C3F" w:rsidRDefault="00520C3F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7C9D1C"/>
    <w:multiLevelType w:val="hybridMultilevel"/>
    <w:tmpl w:val="F0C4E6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C7D254"/>
    <w:multiLevelType w:val="hybridMultilevel"/>
    <w:tmpl w:val="369FF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1DF7852"/>
    <w:multiLevelType w:val="hybridMultilevel"/>
    <w:tmpl w:val="8200A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3D68A2"/>
    <w:multiLevelType w:val="multilevel"/>
    <w:tmpl w:val="693A62CC"/>
    <w:lvl w:ilvl="0">
      <w:start w:val="2"/>
      <w:numFmt w:val="decimal"/>
      <w:lvlText w:val="%1.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auto"/>
        <w:sz w:val="24"/>
      </w:rPr>
    </w:lvl>
  </w:abstractNum>
  <w:abstractNum w:abstractNumId="6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590EDF"/>
    <w:multiLevelType w:val="hybridMultilevel"/>
    <w:tmpl w:val="4A7280D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FD4056"/>
    <w:multiLevelType w:val="hybridMultilevel"/>
    <w:tmpl w:val="C19AD0FA"/>
    <w:lvl w:ilvl="0" w:tplc="EC6C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6"/>
  </w:num>
  <w:num w:numId="3">
    <w:abstractNumId w:val="28"/>
  </w:num>
  <w:num w:numId="4">
    <w:abstractNumId w:val="27"/>
  </w:num>
  <w:num w:numId="5">
    <w:abstractNumId w:val="24"/>
  </w:num>
  <w:num w:numId="6">
    <w:abstractNumId w:val="17"/>
  </w:num>
  <w:num w:numId="7">
    <w:abstractNumId w:val="6"/>
  </w:num>
  <w:num w:numId="8">
    <w:abstractNumId w:val="7"/>
  </w:num>
  <w:num w:numId="9">
    <w:abstractNumId w:val="33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11"/>
  </w:num>
  <w:num w:numId="13">
    <w:abstractNumId w:val="22"/>
  </w:num>
  <w:num w:numId="14">
    <w:abstractNumId w:val="8"/>
  </w:num>
  <w:num w:numId="15">
    <w:abstractNumId w:val="2"/>
  </w:num>
  <w:num w:numId="16">
    <w:abstractNumId w:val="15"/>
  </w:num>
  <w:num w:numId="17">
    <w:abstractNumId w:val="29"/>
  </w:num>
  <w:num w:numId="18">
    <w:abstractNumId w:val="18"/>
  </w:num>
  <w:num w:numId="19">
    <w:abstractNumId w:val="12"/>
  </w:num>
  <w:num w:numId="20">
    <w:abstractNumId w:val="23"/>
  </w:num>
  <w:num w:numId="21">
    <w:abstractNumId w:val="19"/>
  </w:num>
  <w:num w:numId="22">
    <w:abstractNumId w:val="20"/>
  </w:num>
  <w:num w:numId="23">
    <w:abstractNumId w:val="14"/>
  </w:num>
  <w:num w:numId="24">
    <w:abstractNumId w:val="21"/>
  </w:num>
  <w:num w:numId="25">
    <w:abstractNumId w:val="9"/>
  </w:num>
  <w:num w:numId="26">
    <w:abstractNumId w:val="32"/>
  </w:num>
  <w:num w:numId="27">
    <w:abstractNumId w:val="26"/>
  </w:num>
  <w:num w:numId="28">
    <w:abstractNumId w:val="13"/>
  </w:num>
  <w:num w:numId="29">
    <w:abstractNumId w:val="37"/>
  </w:num>
  <w:num w:numId="30">
    <w:abstractNumId w:val="31"/>
  </w:num>
  <w:num w:numId="31">
    <w:abstractNumId w:val="25"/>
  </w:num>
  <w:num w:numId="32">
    <w:abstractNumId w:val="4"/>
  </w:num>
  <w:num w:numId="33">
    <w:abstractNumId w:val="10"/>
  </w:num>
  <w:num w:numId="34">
    <w:abstractNumId w:val="30"/>
  </w:num>
  <w:num w:numId="35">
    <w:abstractNumId w:val="34"/>
  </w:num>
  <w:num w:numId="36">
    <w:abstractNumId w:val="3"/>
  </w:num>
  <w:num w:numId="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DCA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348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044"/>
    <w:rsid w:val="001024FD"/>
    <w:rsid w:val="00102FE7"/>
    <w:rsid w:val="0010369A"/>
    <w:rsid w:val="00103A3A"/>
    <w:rsid w:val="00106775"/>
    <w:rsid w:val="001102D9"/>
    <w:rsid w:val="00111061"/>
    <w:rsid w:val="001162AF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56CE0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4A45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55BA5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6EA2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790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70CF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53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6C7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838"/>
    <w:rsid w:val="00417AA6"/>
    <w:rsid w:val="004218C5"/>
    <w:rsid w:val="00425F00"/>
    <w:rsid w:val="00426B81"/>
    <w:rsid w:val="004271B3"/>
    <w:rsid w:val="004305AA"/>
    <w:rsid w:val="00433CBA"/>
    <w:rsid w:val="00434C82"/>
    <w:rsid w:val="00434D1E"/>
    <w:rsid w:val="00435063"/>
    <w:rsid w:val="004365C0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346D"/>
    <w:rsid w:val="004641F8"/>
    <w:rsid w:val="0046731B"/>
    <w:rsid w:val="004675BE"/>
    <w:rsid w:val="00467B94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11BD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7B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2FB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6B20"/>
    <w:rsid w:val="00517032"/>
    <w:rsid w:val="00520C3F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583F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6ECA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0461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1B45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034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60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1963"/>
    <w:rsid w:val="00744456"/>
    <w:rsid w:val="00744679"/>
    <w:rsid w:val="007468C2"/>
    <w:rsid w:val="00747C28"/>
    <w:rsid w:val="007504AE"/>
    <w:rsid w:val="00750FE1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3DD9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DFE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425"/>
    <w:rsid w:val="00866E8B"/>
    <w:rsid w:val="00870461"/>
    <w:rsid w:val="00870EEB"/>
    <w:rsid w:val="00871BB0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B9D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BBB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07B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42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B7A1F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700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174"/>
    <w:rsid w:val="00BB74C7"/>
    <w:rsid w:val="00BC038E"/>
    <w:rsid w:val="00BC224D"/>
    <w:rsid w:val="00BC2BEB"/>
    <w:rsid w:val="00BC32B2"/>
    <w:rsid w:val="00BC35F6"/>
    <w:rsid w:val="00BC3B34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046D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5462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7B09"/>
    <w:rsid w:val="00DC01B5"/>
    <w:rsid w:val="00DC25F5"/>
    <w:rsid w:val="00DC328E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24E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7D79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97846"/>
    <w:rsid w:val="00EA308F"/>
    <w:rsid w:val="00EA57EA"/>
    <w:rsid w:val="00EA592A"/>
    <w:rsid w:val="00EA6860"/>
    <w:rsid w:val="00EA7B8A"/>
    <w:rsid w:val="00EA7C21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31A1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20C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90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8B14-3327-4A56-B789-29BDA748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3</cp:revision>
  <cp:lastPrinted>2022-11-08T09:59:00Z</cp:lastPrinted>
  <dcterms:created xsi:type="dcterms:W3CDTF">2022-11-14T06:54:00Z</dcterms:created>
  <dcterms:modified xsi:type="dcterms:W3CDTF">2022-11-14T07:09:00Z</dcterms:modified>
</cp:coreProperties>
</file>