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1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1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1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1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48E94C2F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</w:t>
      </w:r>
      <w:r w:rsidR="00CA4A58">
        <w:rPr>
          <w:sz w:val="22"/>
          <w:szCs w:val="22"/>
        </w:rPr>
        <w:t>вании Доверенности от 01.01.2023 № Д-031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 xml:space="preserve">совместно именуемые «Стороны», в </w:t>
      </w:r>
      <w:bookmarkStart w:id="0" w:name="_GoBack"/>
      <w:bookmarkEnd w:id="0"/>
      <w:r w:rsidRPr="000D4EF0">
        <w:rPr>
          <w:sz w:val="22"/>
          <w:szCs w:val="22"/>
        </w:rPr>
        <w:t>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1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</w:t>
      </w:r>
      <w:proofErr w:type="spellEnd"/>
      <w:r w:rsidR="000D4EF0">
        <w:rPr>
          <w:sz w:val="22"/>
          <w:szCs w:val="22"/>
        </w:rPr>
        <w:t>.___коп.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1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proofErr w:type="gramStart"/>
      <w:r w:rsidR="00FD3CD2" w:rsidRPr="000D4EF0">
        <w:rPr>
          <w:sz w:val="22"/>
          <w:szCs w:val="22"/>
        </w:rPr>
        <w:t>).</w:t>
      </w:r>
      <w:r w:rsidR="000A1B26" w:rsidRPr="000D4EF0">
        <w:rPr>
          <w:sz w:val="22"/>
          <w:szCs w:val="22"/>
        </w:rPr>
        <w:t>:</w:t>
      </w:r>
      <w:proofErr w:type="gramEnd"/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1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1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 xml:space="preserve">Юр. адрес: Санкт-Петербург, пер. </w:t>
            </w:r>
            <w:proofErr w:type="spellStart"/>
            <w:r w:rsidRPr="008A6F4B">
              <w:t>Гривцова</w:t>
            </w:r>
            <w:proofErr w:type="spellEnd"/>
            <w:r w:rsidRPr="008A6F4B">
              <w:t>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 xml:space="preserve">Почтовый адрес: г. Тюмень, ул. </w:t>
            </w:r>
            <w:proofErr w:type="spellStart"/>
            <w:r w:rsidRPr="008A6F4B">
              <w:t>Пермякова</w:t>
            </w:r>
            <w:proofErr w:type="spellEnd"/>
            <w:r w:rsidRPr="008A6F4B">
              <w:t>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CA4A5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CC50EA">
        <w:rPr>
          <w:i/>
          <w:sz w:val="18"/>
        </w:rPr>
        <w:t>эл.почты</w:t>
      </w:r>
      <w:proofErr w:type="spell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B2B61" w14:textId="77777777" w:rsidR="00741CC9" w:rsidRDefault="00741CC9">
    <w:pPr>
      <w:pStyle w:val="a3"/>
      <w:framePr w:wrap="auto" w:vAnchor="text" w:hAnchor="margin" w:xAlign="right" w:y="1"/>
      <w:rPr>
        <w:rStyle w:val="a4"/>
      </w:rPr>
    </w:pPr>
  </w:p>
  <w:p w14:paraId="651BE1C8" w14:textId="77777777" w:rsidR="00741CC9" w:rsidRDefault="00741C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A4A58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3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E0FEB"/>
  </w:style>
  <w:style w:type="paragraph" w:styleId="a5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6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7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8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Полякова Елена Сергеевна</cp:lastModifiedBy>
  <cp:revision>13</cp:revision>
  <cp:lastPrinted>2013-05-24T06:14:00Z</cp:lastPrinted>
  <dcterms:created xsi:type="dcterms:W3CDTF">2020-08-27T08:32:00Z</dcterms:created>
  <dcterms:modified xsi:type="dcterms:W3CDTF">2023-01-30T10:28:00Z</dcterms:modified>
</cp:coreProperties>
</file>