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123E7C7E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C75114">
        <w:rPr>
          <w:b/>
          <w:bCs/>
        </w:rPr>
        <w:t>22</w:t>
      </w:r>
      <w:r w:rsidR="005243CF" w:rsidRPr="008E2EEE">
        <w:rPr>
          <w:b/>
          <w:bCs/>
        </w:rPr>
        <w:t>.0</w:t>
      </w:r>
      <w:r w:rsidR="00C75114">
        <w:rPr>
          <w:b/>
          <w:bCs/>
        </w:rPr>
        <w:t>5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1EE05CEF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64C70F4E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09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50EBF3F0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704E1D5B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960B5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61B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75114"/>
    <w:rsid w:val="00CE079D"/>
    <w:rsid w:val="00CE1B7D"/>
    <w:rsid w:val="00CF702A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2al0V92dcFJilXQXYQqF08H2fM8JtYZZvlfAzP2p2mM=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95Gm/82Agw0a5EQn5TG24R2JOdAEWn3Bi7vjnE9rQZE=</DigestValue>
    </Reference>
  </SignedInfo>
  <SignatureValue>tdD+PtBm7ZTOEyFjetOPBIOQqbyFQUAadn2uESeU5AOZJSvPV1snkp4A7j50w/Xk
68+0Fng7hCjEp1r4LDAqAQ==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xQyLKK2unZy2LLk81YWppcH3C9M=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4mF5f8Mv1qrS60rfwThq7i6gSVo=</DigestValue>
      </Reference>
      <Reference URI="/word/settings.xml?ContentType=application/vnd.openxmlformats-officedocument.wordprocessingml.settings+xml">
        <DigestMethod Algorithm="http://www.w3.org/2000/09/xmldsig#sha1"/>
        <DigestValue>/v93Q555OwkdFz6djvHihQDyKUE=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2023-05-12T08:35:04Z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2023-05-12T08:35:04Z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2023-05-12T08:32:00Z</dcterms:created>
  <dcterms:modified xsi:type="dcterms:W3CDTF">2023-05-12T08:32:00Z</dcterms:modified>
</cp:coreProperties>
</file>