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E1CCC3"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5E668E">
        <w:rPr>
          <w:b/>
        </w:rPr>
        <w:t xml:space="preserve">а </w:t>
      </w:r>
      <w:r>
        <w:rPr>
          <w:b/>
        </w:rPr>
        <w:t>недвижимости, принадлежащ</w:t>
      </w:r>
      <w:r w:rsidR="005E668E">
        <w:rPr>
          <w:b/>
        </w:rPr>
        <w:t>его</w:t>
      </w:r>
      <w:r>
        <w:rPr>
          <w:b/>
        </w:rPr>
        <w:t xml:space="preserve"> на праве собственности ПАО Сбербанк</w:t>
      </w:r>
      <w:r w:rsidR="005E668E">
        <w:rPr>
          <w:b/>
        </w:rPr>
        <w:t xml:space="preserve"> (далее – Продавец)</w:t>
      </w:r>
      <w:r>
        <w:rPr>
          <w:b/>
        </w:rPr>
        <w:t xml:space="preserve"> </w:t>
      </w:r>
    </w:p>
    <w:p w14:paraId="00000002" w14:textId="77777777" w:rsidR="00283CFC" w:rsidRDefault="00283CFC">
      <w:pPr>
        <w:ind w:firstLine="567"/>
        <w:jc w:val="center"/>
        <w:rPr>
          <w:b/>
        </w:rPr>
      </w:pPr>
    </w:p>
    <w:p w14:paraId="00000004" w14:textId="4376BE82" w:rsidR="00283CFC" w:rsidRDefault="003313B7" w:rsidP="00E66803">
      <w:pPr>
        <w:ind w:firstLine="567"/>
        <w:jc w:val="center"/>
        <w:rPr>
          <w:b/>
        </w:rPr>
      </w:pPr>
      <w:r>
        <w:rPr>
          <w:b/>
        </w:rPr>
        <w:t xml:space="preserve">Электронный аукцион будет проводиться </w:t>
      </w:r>
      <w:r w:rsidR="002B1293">
        <w:rPr>
          <w:b/>
          <w:color w:val="0070C0"/>
        </w:rPr>
        <w:t>22 июня</w:t>
      </w:r>
      <w:r w:rsidR="00663454">
        <w:rPr>
          <w:b/>
          <w:color w:val="0070C0"/>
        </w:rPr>
        <w:t xml:space="preserve"> </w:t>
      </w:r>
      <w:r w:rsidRPr="008862B6">
        <w:rPr>
          <w:b/>
          <w:color w:val="0070C0"/>
        </w:rPr>
        <w:t>202</w:t>
      </w:r>
      <w:r w:rsidR="00AA70CC">
        <w:rPr>
          <w:b/>
          <w:color w:val="0070C0"/>
        </w:rPr>
        <w:t>3</w:t>
      </w:r>
      <w:r w:rsidRPr="008862B6">
        <w:rPr>
          <w:b/>
          <w:color w:val="0070C0"/>
        </w:rPr>
        <w:t xml:space="preserve"> </w:t>
      </w:r>
      <w:r>
        <w:rPr>
          <w:b/>
        </w:rPr>
        <w:t xml:space="preserve">года в </w:t>
      </w:r>
      <w:r w:rsidRPr="00996E61">
        <w:rPr>
          <w:b/>
          <w:color w:val="0070C0"/>
        </w:rPr>
        <w:t>0</w:t>
      </w:r>
      <w:r w:rsidR="00E66803">
        <w:rPr>
          <w:b/>
          <w:color w:val="0070C0"/>
        </w:rPr>
        <w:t>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442D2A7E" w:rsidR="00283CFC" w:rsidRDefault="003313B7">
      <w:pPr>
        <w:jc w:val="center"/>
        <w:rPr>
          <w:b/>
        </w:rPr>
      </w:pPr>
      <w:r>
        <w:rPr>
          <w:b/>
        </w:rPr>
        <w:t xml:space="preserve">Прием заявок с </w:t>
      </w:r>
      <w:r w:rsidR="002B1293">
        <w:rPr>
          <w:b/>
          <w:color w:val="0070C0"/>
        </w:rPr>
        <w:t>19 мая 2023</w:t>
      </w:r>
      <w:r w:rsidRPr="008862B6">
        <w:rPr>
          <w:b/>
          <w:color w:val="0070C0"/>
        </w:rPr>
        <w:t xml:space="preserve"> </w:t>
      </w:r>
      <w:r>
        <w:rPr>
          <w:b/>
        </w:rPr>
        <w:t xml:space="preserve">г. </w:t>
      </w:r>
      <w:r w:rsidRPr="00EB4E8A">
        <w:rPr>
          <w:b/>
          <w:color w:val="0070C0"/>
        </w:rPr>
        <w:t xml:space="preserve">00:00 </w:t>
      </w:r>
      <w:r>
        <w:rPr>
          <w:b/>
        </w:rPr>
        <w:t>по</w:t>
      </w:r>
      <w:bookmarkStart w:id="0" w:name="_Hlk75943990"/>
      <w:r w:rsidR="002B0A09">
        <w:rPr>
          <w:b/>
        </w:rPr>
        <w:t xml:space="preserve"> </w:t>
      </w:r>
      <w:r w:rsidR="002B1293">
        <w:rPr>
          <w:b/>
          <w:color w:val="0070C0"/>
        </w:rPr>
        <w:t>19 июня</w:t>
      </w:r>
      <w:r w:rsidR="00AA70CC">
        <w:rPr>
          <w:b/>
          <w:color w:val="0070C0"/>
        </w:rPr>
        <w:t xml:space="preserve"> 2</w:t>
      </w:r>
      <w:r w:rsidRPr="008862B6">
        <w:rPr>
          <w:b/>
          <w:color w:val="0070C0"/>
        </w:rPr>
        <w:t>02</w:t>
      </w:r>
      <w:r w:rsidR="00AA70CC">
        <w:rPr>
          <w:b/>
          <w:color w:val="0070C0"/>
        </w:rPr>
        <w:t>3</w:t>
      </w:r>
      <w:r w:rsidRPr="008862B6">
        <w:rPr>
          <w:b/>
          <w:color w:val="0070C0"/>
        </w:rPr>
        <w:t xml:space="preserve"> </w:t>
      </w:r>
      <w:bookmarkEnd w:id="0"/>
      <w:r>
        <w:rPr>
          <w:b/>
        </w:rPr>
        <w:t xml:space="preserve">г. до </w:t>
      </w:r>
      <w:r w:rsidRPr="00996E61">
        <w:rPr>
          <w:b/>
          <w:color w:val="0070C0"/>
        </w:rPr>
        <w:t>0</w:t>
      </w:r>
      <w:r w:rsidR="00E66803">
        <w:rPr>
          <w:b/>
          <w:color w:val="0070C0"/>
        </w:rPr>
        <w:t>8</w:t>
      </w:r>
      <w:r w:rsidRPr="00996E61">
        <w:rPr>
          <w:b/>
          <w:color w:val="0070C0"/>
        </w:rPr>
        <w:t>:00</w:t>
      </w:r>
      <w:r>
        <w:rPr>
          <w:b/>
        </w:rPr>
        <w:t>.</w:t>
      </w:r>
    </w:p>
    <w:p w14:paraId="00000008" w14:textId="1C65C006"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Pr="00996E61">
        <w:rPr>
          <w:b/>
          <w:color w:val="0070C0"/>
        </w:rPr>
        <w:t>0</w:t>
      </w:r>
      <w:r w:rsidR="00E66803">
        <w:rPr>
          <w:b/>
          <w:color w:val="0070C0"/>
        </w:rPr>
        <w:t>8</w:t>
      </w:r>
      <w:r w:rsidRPr="00996E61">
        <w:rPr>
          <w:b/>
          <w:color w:val="0070C0"/>
        </w:rPr>
        <w:t xml:space="preserve">:00 </w:t>
      </w:r>
      <w:r w:rsidR="002B1293">
        <w:rPr>
          <w:b/>
          <w:color w:val="0070C0"/>
        </w:rPr>
        <w:t>19 июня</w:t>
      </w:r>
      <w:r w:rsidR="00663454" w:rsidRPr="008862B6">
        <w:rPr>
          <w:b/>
          <w:color w:val="0070C0"/>
        </w:rPr>
        <w:t xml:space="preserve"> </w:t>
      </w:r>
      <w:r w:rsidR="002B0A09" w:rsidRPr="008862B6">
        <w:rPr>
          <w:b/>
          <w:color w:val="0070C0"/>
        </w:rPr>
        <w:t>202</w:t>
      </w:r>
      <w:r w:rsidR="00AA70CC">
        <w:rPr>
          <w:b/>
          <w:color w:val="0070C0"/>
        </w:rPr>
        <w:t>3</w:t>
      </w:r>
      <w:r w:rsidR="002B0A09" w:rsidRPr="008862B6">
        <w:rPr>
          <w:b/>
          <w:color w:val="0070C0"/>
        </w:rPr>
        <w:t xml:space="preserve"> </w:t>
      </w:r>
      <w:r>
        <w:rPr>
          <w:b/>
        </w:rPr>
        <w:t>г.</w:t>
      </w:r>
    </w:p>
    <w:p w14:paraId="00000009" w14:textId="77777777" w:rsidR="00283CFC" w:rsidRDefault="00283CFC">
      <w:pPr>
        <w:ind w:firstLine="567"/>
        <w:jc w:val="both"/>
        <w:rPr>
          <w:b/>
        </w:rPr>
      </w:pPr>
    </w:p>
    <w:p w14:paraId="0000000A" w14:textId="53128E66"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A444A4" w:rsidRPr="00E66803">
        <w:rPr>
          <w:b/>
          <w:color w:val="0070C0"/>
        </w:rPr>
        <w:t xml:space="preserve"> </w:t>
      </w:r>
      <w:r w:rsidR="002B1293">
        <w:rPr>
          <w:b/>
          <w:color w:val="0070C0"/>
        </w:rPr>
        <w:t>21</w:t>
      </w:r>
      <w:r w:rsidR="00AA70CC">
        <w:rPr>
          <w:b/>
          <w:color w:val="0070C0"/>
        </w:rPr>
        <w:t xml:space="preserve"> </w:t>
      </w:r>
      <w:r w:rsidR="002B1293">
        <w:rPr>
          <w:b/>
          <w:color w:val="0070C0"/>
        </w:rPr>
        <w:t>июня</w:t>
      </w:r>
      <w:r w:rsidR="00AA70CC">
        <w:rPr>
          <w:b/>
          <w:color w:val="0070C0"/>
        </w:rPr>
        <w:t xml:space="preserve"> </w:t>
      </w:r>
      <w:r w:rsidR="00AA70CC" w:rsidRPr="008862B6">
        <w:rPr>
          <w:b/>
          <w:color w:val="0070C0"/>
        </w:rPr>
        <w:t>202</w:t>
      </w:r>
      <w:r w:rsidR="00AA70CC">
        <w:rPr>
          <w:b/>
          <w:color w:val="0070C0"/>
        </w:rPr>
        <w:t>3</w:t>
      </w:r>
      <w:r w:rsidR="00AA70CC" w:rsidRPr="008862B6">
        <w:rPr>
          <w:b/>
          <w:color w:val="0070C0"/>
        </w:rPr>
        <w:t xml:space="preserve"> </w:t>
      </w:r>
      <w:r>
        <w:rPr>
          <w:b/>
        </w:rPr>
        <w:t>года.</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6AE4E218"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t>8 (812) 777-57-57, доб 516</w:t>
      </w:r>
      <w:r w:rsidRPr="00DE7CB9">
        <w:t xml:space="preserve">. Контактное лицо </w:t>
      </w:r>
      <w:r>
        <w:t>Генералова Елена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r>
        <w:rPr>
          <w:lang w:val="en-US"/>
        </w:rPr>
        <w:t>dv</w:t>
      </w:r>
      <w:r w:rsidRPr="00DE7CB9">
        <w:t>@auction-house.ru</w:t>
      </w:r>
    </w:p>
    <w:bookmarkEnd w:id="2"/>
    <w:p w14:paraId="0000000F" w14:textId="77777777" w:rsidR="00283CFC" w:rsidRDefault="00283CFC">
      <w:pPr>
        <w:ind w:firstLine="720"/>
        <w:jc w:val="both"/>
      </w:pPr>
    </w:p>
    <w:p w14:paraId="00000010" w14:textId="0CCC4DFE" w:rsidR="00283CFC" w:rsidRPr="00D30FAE" w:rsidRDefault="003313B7">
      <w:pPr>
        <w:ind w:firstLine="720"/>
        <w:jc w:val="both"/>
        <w:rPr>
          <w:b/>
          <w:color w:val="0070C0"/>
        </w:rPr>
      </w:pPr>
      <w:r w:rsidRPr="00D30FAE">
        <w:rPr>
          <w:b/>
          <w:color w:val="0070C0"/>
        </w:rPr>
        <w:t>Лот №1:</w:t>
      </w:r>
    </w:p>
    <w:p w14:paraId="06C809A1" w14:textId="369DC00C" w:rsidR="004828B9" w:rsidRPr="004828B9" w:rsidRDefault="005E668E" w:rsidP="004828B9">
      <w:pPr>
        <w:ind w:firstLine="567"/>
        <w:jc w:val="both"/>
        <w:rPr>
          <w:bCs/>
        </w:rPr>
      </w:pPr>
      <w:r w:rsidRPr="005E668E">
        <w:rPr>
          <w:bCs/>
        </w:rPr>
        <w:t xml:space="preserve">Нежилые помещения, расположенные по адресу: </w:t>
      </w:r>
      <w:r w:rsidRPr="005E668E">
        <w:rPr>
          <w:b/>
        </w:rPr>
        <w:t>Сахалинская область, г. Анива, ул. Ленина, 41</w:t>
      </w:r>
      <w:r w:rsidRPr="005E668E">
        <w:rPr>
          <w:bCs/>
        </w:rPr>
        <w:t xml:space="preserve">, площадью </w:t>
      </w:r>
      <w:r w:rsidRPr="005E668E">
        <w:rPr>
          <w:b/>
        </w:rPr>
        <w:t>96,4 кв. м</w:t>
      </w:r>
      <w:r w:rsidRPr="005E668E">
        <w:rPr>
          <w:bCs/>
        </w:rPr>
        <w:t xml:space="preserve">, входящие в состав нежилых помещений площадью 329 кв. м с кадастровым номером 65:05:0000059:81, этаж: первый, принадлежащие </w:t>
      </w:r>
      <w:r>
        <w:rPr>
          <w:bCs/>
        </w:rPr>
        <w:t>Продавцу</w:t>
      </w:r>
      <w:r w:rsidRPr="005E668E">
        <w:rPr>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 № 65:05:0000059:81-65/043/2021-1 от 19.02.2021</w:t>
      </w:r>
      <w:r w:rsidR="004828B9" w:rsidRPr="004828B9">
        <w:rPr>
          <w:bCs/>
        </w:rPr>
        <w:t>.</w:t>
      </w:r>
    </w:p>
    <w:p w14:paraId="67044A9C" w14:textId="71A11987" w:rsidR="00D30FAE" w:rsidRPr="00D30FAE" w:rsidRDefault="00D30FAE" w:rsidP="004828B9">
      <w:pPr>
        <w:ind w:firstLine="567"/>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5F589C73" w14:textId="03B27CDC" w:rsidR="00D30FAE" w:rsidRDefault="005E668E" w:rsidP="00D30FAE">
      <w:pPr>
        <w:ind w:firstLine="567"/>
        <w:jc w:val="both"/>
      </w:pPr>
      <w:r>
        <w:t xml:space="preserve">ВАЖНО: Передача объекта </w:t>
      </w:r>
      <w:r w:rsidR="002B1293">
        <w:t>п</w:t>
      </w:r>
      <w:r>
        <w:t>о акту приема-передачи осуществляется в течении 4-х месяцев после подписания договора купли продажи</w:t>
      </w:r>
      <w:r w:rsidR="002B1293">
        <w:t xml:space="preserve"> между Покупателем и Продавцом.</w:t>
      </w:r>
    </w:p>
    <w:p w14:paraId="721AFD5B" w14:textId="77777777" w:rsidR="002B1293" w:rsidRDefault="002B1293" w:rsidP="00D30FAE">
      <w:pPr>
        <w:ind w:firstLine="567"/>
        <w:jc w:val="both"/>
      </w:pPr>
    </w:p>
    <w:p w14:paraId="1C938B8B" w14:textId="55F05BBB" w:rsidR="00D30FAE" w:rsidRPr="00D30FAE" w:rsidRDefault="00D30FAE" w:rsidP="00D30FAE">
      <w:r>
        <w:rPr>
          <w:b/>
          <w:bCs/>
        </w:rPr>
        <w:t xml:space="preserve">Начальная цена: </w:t>
      </w:r>
      <w:r w:rsidR="005E668E">
        <w:rPr>
          <w:b/>
          <w:bCs/>
          <w:color w:val="0070C0"/>
        </w:rPr>
        <w:t>3 202 022</w:t>
      </w:r>
      <w:r w:rsidRPr="002E16F4">
        <w:rPr>
          <w:b/>
          <w:bCs/>
          <w:color w:val="0070C0"/>
        </w:rPr>
        <w:t xml:space="preserve"> </w:t>
      </w:r>
      <w:r w:rsidRPr="00D30FAE">
        <w:t>(</w:t>
      </w:r>
      <w:r w:rsidR="005E668E">
        <w:t>Три</w:t>
      </w:r>
      <w:r w:rsidR="004828B9">
        <w:t xml:space="preserve"> ми</w:t>
      </w:r>
      <w:r w:rsidRPr="00D30FAE">
        <w:t>ллион</w:t>
      </w:r>
      <w:r w:rsidR="005E668E">
        <w:t>а</w:t>
      </w:r>
      <w:r w:rsidRPr="00D30FAE">
        <w:t xml:space="preserve"> </w:t>
      </w:r>
      <w:r w:rsidR="005E668E">
        <w:t>двести две тысячи двадцать два</w:t>
      </w:r>
      <w:r w:rsidRPr="00D30FAE">
        <w:t>)</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635D0612" w14:textId="38493DC3" w:rsidR="00D30FAE" w:rsidRPr="00A5728B" w:rsidRDefault="00D30FAE" w:rsidP="00D30FAE">
      <w:pPr>
        <w:rPr>
          <w:b/>
          <w:bCs/>
        </w:rPr>
      </w:pPr>
      <w:r>
        <w:rPr>
          <w:b/>
          <w:bCs/>
        </w:rPr>
        <w:t>Сумма</w:t>
      </w:r>
      <w:r w:rsidRPr="00A5728B">
        <w:rPr>
          <w:b/>
          <w:bCs/>
        </w:rPr>
        <w:t xml:space="preserve"> </w:t>
      </w:r>
      <w:r>
        <w:rPr>
          <w:b/>
          <w:bCs/>
        </w:rPr>
        <w:t>задатка</w:t>
      </w:r>
      <w:r w:rsidRPr="00A5728B">
        <w:rPr>
          <w:b/>
          <w:bCs/>
        </w:rPr>
        <w:t xml:space="preserve">: </w:t>
      </w:r>
      <w:r w:rsidR="005E668E" w:rsidRPr="005E668E">
        <w:rPr>
          <w:b/>
          <w:bCs/>
          <w:color w:val="0070C0"/>
        </w:rPr>
        <w:t xml:space="preserve">64 040 </w:t>
      </w:r>
      <w:r w:rsidR="005E668E" w:rsidRPr="005E668E">
        <w:t>(</w:t>
      </w:r>
      <w:r w:rsidR="005E668E">
        <w:t>Ш</w:t>
      </w:r>
      <w:r w:rsidR="005E668E" w:rsidRPr="005E668E">
        <w:t>естьдесят четыре тысячи сорок)</w:t>
      </w:r>
      <w:r w:rsidR="005E668E" w:rsidRPr="005E668E">
        <w:rPr>
          <w:b/>
          <w:bCs/>
          <w:color w:val="0070C0"/>
        </w:rPr>
        <w:t xml:space="preserve"> </w:t>
      </w:r>
      <w:r w:rsidRPr="00A5728B">
        <w:rPr>
          <w:b/>
          <w:bCs/>
          <w:color w:val="0070C0"/>
        </w:rPr>
        <w:t>руб</w:t>
      </w:r>
      <w:r>
        <w:rPr>
          <w:b/>
          <w:bCs/>
          <w:color w:val="0070C0"/>
        </w:rPr>
        <w:t>. 00 коп.</w:t>
      </w:r>
    </w:p>
    <w:p w14:paraId="02BED1AF" w14:textId="529C2DA2" w:rsidR="00D30FAE" w:rsidRDefault="00D30FAE" w:rsidP="00D30FAE">
      <w:pPr>
        <w:rPr>
          <w:b/>
          <w:bCs/>
          <w:color w:val="0070C0"/>
        </w:rPr>
      </w:pPr>
      <w:r>
        <w:rPr>
          <w:b/>
          <w:bCs/>
        </w:rPr>
        <w:t xml:space="preserve">Шаг аукциона на повышение: </w:t>
      </w:r>
      <w:r w:rsidR="005E668E" w:rsidRPr="005E668E">
        <w:rPr>
          <w:b/>
          <w:bCs/>
          <w:color w:val="0070C0"/>
        </w:rPr>
        <w:t xml:space="preserve">32 020 </w:t>
      </w:r>
      <w:r w:rsidR="005E668E" w:rsidRPr="005E668E">
        <w:t>(Тридцать две тысячи двадцать)</w:t>
      </w:r>
      <w:r w:rsidR="005E668E" w:rsidRPr="005E668E">
        <w:rPr>
          <w:b/>
          <w:bCs/>
        </w:rPr>
        <w:t xml:space="preserve"> </w:t>
      </w:r>
      <w:r w:rsidRPr="000073FE">
        <w:rPr>
          <w:b/>
          <w:bCs/>
          <w:color w:val="0070C0"/>
        </w:rPr>
        <w:t>руб</w:t>
      </w:r>
      <w:r>
        <w:rPr>
          <w:b/>
          <w:bCs/>
          <w:color w:val="0070C0"/>
        </w:rPr>
        <w:t>. 00 коп.</w:t>
      </w:r>
    </w:p>
    <w:p w14:paraId="012E1EEF" w14:textId="61656354" w:rsidR="004828B9" w:rsidRDefault="004828B9" w:rsidP="00D30FAE">
      <w:pPr>
        <w:rPr>
          <w:b/>
          <w:bCs/>
          <w:color w:val="0070C0"/>
        </w:rPr>
      </w:pP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Pr="004214BA"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9" w:history="1">
        <w:r w:rsidRPr="004214BA">
          <w:t>www.lot-online.ru</w:t>
        </w:r>
      </w:hyperlink>
      <w:r w:rsidRPr="004214BA">
        <w:t xml:space="preserve"> (</w:t>
      </w:r>
      <w:hyperlink r:id="rId10" w:history="1">
        <w:r w:rsidRPr="004214BA">
          <w:rPr>
            <w:rStyle w:val="af2"/>
          </w:rPr>
          <w:t>https://catalog.lot-online.ru/images/docs/regulations/reglament_prod.pdf?_t=1666941793</w:t>
        </w:r>
      </w:hyperlink>
      <w:r w:rsidRPr="004214BA">
        <w:t>).</w:t>
      </w:r>
    </w:p>
    <w:p w14:paraId="0000002F" w14:textId="77777777" w:rsidR="00283CFC" w:rsidRDefault="00283CFC">
      <w:pPr>
        <w:ind w:firstLine="720"/>
        <w:jc w:val="both"/>
      </w:pPr>
    </w:p>
    <w:p w14:paraId="28973585" w14:textId="77777777" w:rsidR="005E668E" w:rsidRDefault="005E668E">
      <w:pPr>
        <w:ind w:firstLine="720"/>
        <w:jc w:val="both"/>
      </w:pPr>
    </w:p>
    <w:p w14:paraId="5F851534" w14:textId="77777777" w:rsidR="005E668E" w:rsidRDefault="005E668E">
      <w:pPr>
        <w:ind w:firstLine="720"/>
        <w:jc w:val="both"/>
      </w:pP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15FFF109" w:rsidR="00BA1B10" w:rsidRPr="00641D64" w:rsidRDefault="00BA1B10" w:rsidP="00BA1B10">
      <w:pPr>
        <w:jc w:val="both"/>
      </w:pPr>
      <w:r w:rsidRPr="00641D64">
        <w:t xml:space="preserve">-  в Указе Президента РФ от 03.05.2022 № </w:t>
      </w:r>
      <w:proofErr w:type="gramStart"/>
      <w:r w:rsidRPr="00641D64">
        <w:t>252  «</w:t>
      </w:r>
      <w:proofErr w:type="gramEnd"/>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641D64">
        <w:rPr>
          <w:rStyle w:val="ad"/>
        </w:rPr>
        <w:footnoteReference w:id="1"/>
      </w:r>
      <w:r w:rsidRPr="00641D64">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lastRenderedPageBreak/>
        <w:t xml:space="preserve">Заявка подписывается электронной подписью Претендента. К заявке прилагаются подписанные </w:t>
      </w:r>
      <w:hyperlink r:id="rId11">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3B0F3C5E" w:rsidR="00BA1B10" w:rsidRPr="00641D64" w:rsidRDefault="00BA1B10" w:rsidP="00BA1B10">
      <w:pPr>
        <w:ind w:firstLine="567"/>
        <w:jc w:val="both"/>
      </w:pPr>
      <w:r w:rsidRPr="00641D64">
        <w:t>-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77777777" w:rsidR="00BA1B10" w:rsidRPr="00641D64" w:rsidRDefault="00BA1B10" w:rsidP="00641D64">
      <w:pPr>
        <w:numPr>
          <w:ilvl w:val="0"/>
          <w:numId w:val="2"/>
        </w:numPr>
        <w:ind w:left="567" w:hanging="567"/>
        <w:jc w:val="both"/>
      </w:pPr>
      <w:proofErr w:type="gramStart"/>
      <w:r w:rsidRPr="00641D64">
        <w:t>заполненную  анкету</w:t>
      </w:r>
      <w:proofErr w:type="gramEnd"/>
      <w:r w:rsidRPr="00641D64">
        <w:t xml:space="preserve">    по  установленной  форме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lastRenderedPageBreak/>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649F4149"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2B1293">
        <w:rPr>
          <w:rFonts w:ascii="Times New Roman" w:hAnsi="Times New Roman" w:cs="Times New Roman"/>
          <w:b/>
          <w:bCs/>
          <w:color w:val="4472C4"/>
          <w:highlight w:val="lightGray"/>
          <w:u w:val="single"/>
        </w:rPr>
        <w:t>19 июня</w:t>
      </w:r>
      <w:r w:rsidRPr="00EA6B25">
        <w:rPr>
          <w:rFonts w:ascii="Times New Roman" w:hAnsi="Times New Roman" w:cs="Times New Roman"/>
          <w:b/>
          <w:bCs/>
          <w:color w:val="4472C4"/>
          <w:highlight w:val="lightGray"/>
          <w:u w:val="single"/>
        </w:rPr>
        <w:t xml:space="preserve"> 202</w:t>
      </w:r>
      <w:r w:rsidR="00AA70CC">
        <w:rPr>
          <w:rFonts w:ascii="Times New Roman" w:hAnsi="Times New Roman" w:cs="Times New Roman"/>
          <w:b/>
          <w:bCs/>
          <w:color w:val="4472C4"/>
          <w:highlight w:val="lightGray"/>
          <w:u w:val="single"/>
        </w:rPr>
        <w:t>3</w:t>
      </w:r>
      <w:r w:rsidRPr="00EA6B25">
        <w:rPr>
          <w:rFonts w:ascii="Times New Roman" w:hAnsi="Times New Roman" w:cs="Times New Roman"/>
          <w:b/>
          <w:bCs/>
          <w:color w:val="4472C4"/>
          <w:highlight w:val="lightGray"/>
          <w:u w:val="single"/>
        </w:rPr>
        <w:t xml:space="preserve"> г. до 08.00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proofErr w:type="spellStart"/>
        <w:r w:rsidRPr="00EA6B25">
          <w:rPr>
            <w:color w:val="0000FF"/>
            <w:highlight w:val="lightGray"/>
            <w:u w:val="single"/>
            <w:lang w:val="en-US"/>
          </w:rPr>
          <w:t>ru</w:t>
        </w:r>
        <w:proofErr w:type="spellEnd"/>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lastRenderedPageBreak/>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EA6B25">
        <w:rPr>
          <w:highlight w:val="lightGray"/>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r w:rsidR="005E668E" w:rsidRPr="002E7758">
        <w:rPr>
          <w:highlight w:val="lightGray"/>
        </w:rPr>
        <w:t>(</w:t>
      </w:r>
      <w:hyperlink r:id="rId13" w:history="1">
        <w:r w:rsidR="005E668E" w:rsidRPr="002E7758">
          <w:rPr>
            <w:rStyle w:val="af2"/>
            <w:highlight w:val="lightGray"/>
          </w:rPr>
          <w:t>https://catalog.lot-online.ru/images/docs/regulations/reglament_zadatok_bkr.pdf?_t=1658847783</w:t>
        </w:r>
      </w:hyperlink>
      <w:r w:rsidR="005E668E" w:rsidRPr="002E7758">
        <w:rPr>
          <w:highlight w:val="lightGray"/>
        </w:rPr>
        <w:t>)</w:t>
      </w:r>
      <w:r w:rsidR="005E668E">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5E33DF3F"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2B1293">
        <w:rPr>
          <w:b/>
          <w:color w:val="0070C0"/>
          <w:u w:val="single"/>
        </w:rPr>
        <w:t>19 мая</w:t>
      </w:r>
      <w:r w:rsidR="00E66803">
        <w:rPr>
          <w:b/>
          <w:color w:val="0070C0"/>
          <w:u w:val="single"/>
        </w:rPr>
        <w:t xml:space="preserve"> </w:t>
      </w:r>
      <w:r w:rsidRPr="008862B6">
        <w:rPr>
          <w:b/>
          <w:color w:val="0070C0"/>
          <w:u w:val="single"/>
        </w:rPr>
        <w:t>202</w:t>
      </w:r>
      <w:r w:rsidR="00890C78">
        <w:rPr>
          <w:b/>
          <w:color w:val="0070C0"/>
          <w:u w:val="single"/>
        </w:rPr>
        <w:t>3</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w:t>
      </w:r>
      <w:r>
        <w:rPr>
          <w:color w:val="000000"/>
        </w:rPr>
        <w:lastRenderedPageBreak/>
        <w:t xml:space="preserve">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000088" w14:textId="77777777" w:rsidR="00283CFC" w:rsidRDefault="003313B7">
      <w:pPr>
        <w:ind w:firstLine="709"/>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9" w14:textId="77777777" w:rsidR="00283CFC" w:rsidRDefault="00283CFC">
      <w:pPr>
        <w:jc w:val="both"/>
      </w:pPr>
    </w:p>
    <w:p w14:paraId="0000008A" w14:textId="7568A37F" w:rsidR="00283CFC" w:rsidRDefault="003313B7">
      <w:pPr>
        <w:widowControl w:val="0"/>
        <w:pBdr>
          <w:top w:val="nil"/>
          <w:left w:val="nil"/>
          <w:bottom w:val="nil"/>
          <w:right w:val="nil"/>
          <w:between w:val="nil"/>
        </w:pBdr>
        <w:tabs>
          <w:tab w:val="right" w:pos="4762"/>
        </w:tabs>
        <w:ind w:right="-5" w:firstLine="567"/>
        <w:jc w:val="both"/>
        <w:rPr>
          <w:b/>
          <w:color w:val="000000"/>
        </w:rPr>
      </w:pPr>
      <w:r>
        <w:rPr>
          <w:b/>
          <w:color w:val="000000"/>
        </w:rPr>
        <w:lastRenderedPageBreak/>
        <w:t>Договор купли-продажи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000008B" w14:textId="1CCADDCB" w:rsidR="00283CFC" w:rsidRDefault="003313B7">
      <w:pPr>
        <w:ind w:firstLine="567"/>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78B05765" w:rsidR="00283CFC" w:rsidRDefault="003313B7">
      <w:pPr>
        <w:ind w:firstLine="567"/>
        <w:jc w:val="both"/>
        <w:rPr>
          <w:b/>
        </w:rPr>
      </w:pPr>
      <w:r w:rsidRPr="00C645B3">
        <w:rPr>
          <w:b/>
        </w:rPr>
        <w:t>Оплата оставшейся части цены Объекта по Договору купли-продажи осуществляется Покупателем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6156364F" w:rsidR="00BA1B10" w:rsidRPr="009E2591" w:rsidRDefault="00BA1B10" w:rsidP="00BA1B10">
      <w:pPr>
        <w:ind w:firstLine="709"/>
        <w:jc w:val="both"/>
        <w:rPr>
          <w:b/>
          <w:bCs/>
        </w:rPr>
      </w:pPr>
      <w:r w:rsidRPr="009E2591">
        <w:rPr>
          <w:b/>
          <w:bCs/>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Pr="009E2591" w:rsidRDefault="00BA1B10" w:rsidP="00BA1B10">
      <w:pPr>
        <w:ind w:firstLine="709"/>
        <w:jc w:val="both"/>
        <w:rPr>
          <w:sz w:val="28"/>
          <w:szCs w:val="28"/>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38D6DA9D" w14:textId="77777777" w:rsidR="006E01E4" w:rsidRDefault="006E01E4">
      <w:pPr>
        <w:ind w:firstLine="567"/>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w:t>
            </w:r>
            <w:proofErr w:type="gramStart"/>
            <w:r w:rsidRPr="00BA1B10">
              <w:rPr>
                <w:rFonts w:ascii="Times New Roman" w:hAnsi="Times New Roman" w:cs="Times New Roman"/>
                <w:color w:val="020C22"/>
              </w:rPr>
              <w:t>регистрации)*</w:t>
            </w:r>
            <w:proofErr w:type="gramEnd"/>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lastRenderedPageBreak/>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 xml:space="preserve">(адрес </w:t>
            </w:r>
            <w:proofErr w:type="gramStart"/>
            <w:r w:rsidRPr="00BA1B10">
              <w:rPr>
                <w:rFonts w:ascii="Times New Roman" w:hAnsi="Times New Roman" w:cs="Times New Roman"/>
                <w:color w:val="020C22"/>
              </w:rPr>
              <w:t>регистрации)*</w:t>
            </w:r>
            <w:proofErr w:type="gramEnd"/>
            <w:r w:rsidRPr="00BA1B10">
              <w:rPr>
                <w:rFonts w:ascii="Times New Roman" w:hAnsi="Times New Roman" w:cs="Times New Roman"/>
                <w:color w:val="020C22"/>
              </w:rPr>
              <w:t xml:space="preserve">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proofErr w:type="gramStart"/>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ФЛ</w:t>
            </w:r>
            <w:proofErr w:type="gramEnd"/>
            <w:r w:rsidRPr="00BA1B10">
              <w:rPr>
                <w:rFonts w:ascii="Times New Roman" w:eastAsia="SimSun" w:hAnsi="Times New Roman" w:cs="Times New Roman"/>
                <w:b/>
                <w:color w:val="000000"/>
              </w:rPr>
              <w:t xml:space="preserve">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w:t>
            </w:r>
            <w:proofErr w:type="gramStart"/>
            <w:r w:rsidRPr="00BA1B10">
              <w:rPr>
                <w:rFonts w:ascii="Times New Roman" w:eastAsia="Times New Roman" w:hAnsi="Times New Roman" w:cs="Times New Roman"/>
              </w:rPr>
              <w:t>Вы  лицом</w:t>
            </w:r>
            <w:proofErr w:type="gramEnd"/>
            <w:r w:rsidRPr="00BA1B10">
              <w:rPr>
                <w:rFonts w:ascii="Times New Roman" w:eastAsia="Times New Roman" w:hAnsi="Times New Roman" w:cs="Times New Roman"/>
              </w:rPr>
              <w:t xml:space="preserve">,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ascii="Times New Roman" w:eastAsia="Times New Roman" w:hAnsi="Times New Roman" w:cs="Times New Roman"/>
              </w:rPr>
              <w:t xml:space="preserve">решения,   </w:t>
            </w:r>
            <w:proofErr w:type="gramEnd"/>
            <w:r w:rsidRPr="00BA1B10">
              <w:rPr>
                <w:rFonts w:ascii="Times New Roman" w:eastAsia="Times New Roman" w:hAnsi="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ascii="Times New Roman" w:eastAsia="Times New Roman" w:hAnsi="Times New Roman" w:cs="Times New Roman"/>
              </w:rPr>
              <w:t>состава  коллегиального</w:t>
            </w:r>
            <w:proofErr w:type="gramEnd"/>
            <w:r w:rsidRPr="00BA1B10">
              <w:rPr>
                <w:rFonts w:ascii="Times New Roman" w:eastAsia="Times New Roman" w:hAnsi="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w:t>
            </w:r>
            <w:proofErr w:type="gramStart"/>
            <w:r w:rsidRPr="00BA1B10">
              <w:rPr>
                <w:rFonts w:ascii="Times New Roman" w:eastAsia="Times New Roman" w:hAnsi="Times New Roman" w:cs="Times New Roman"/>
              </w:rPr>
              <w:t>в  собственности</w:t>
            </w:r>
            <w:proofErr w:type="gramEnd"/>
            <w:r w:rsidRPr="00BA1B10">
              <w:rPr>
                <w:rFonts w:ascii="Times New Roman" w:eastAsia="Times New Roman" w:hAnsi="Times New Roman" w:cs="Times New Roman"/>
              </w:rPr>
              <w:t xml:space="preserve">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EC72" w14:textId="77777777" w:rsidR="00117C46" w:rsidRDefault="00117C46" w:rsidP="00183809">
      <w:r>
        <w:separator/>
      </w:r>
    </w:p>
  </w:endnote>
  <w:endnote w:type="continuationSeparator" w:id="0">
    <w:p w14:paraId="5EBDD3B8" w14:textId="77777777" w:rsidR="00117C46" w:rsidRDefault="00117C46"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A910" w14:textId="77777777" w:rsidR="00117C46" w:rsidRDefault="00117C46" w:rsidP="00183809">
      <w:r>
        <w:separator/>
      </w:r>
    </w:p>
  </w:footnote>
  <w:footnote w:type="continuationSeparator" w:id="0">
    <w:p w14:paraId="3AD23FBD" w14:textId="77777777" w:rsidR="00117C46" w:rsidRDefault="00117C46"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w:t>
      </w:r>
      <w:proofErr w:type="gramStart"/>
      <w:r>
        <w:rPr>
          <w:i/>
          <w:iCs/>
        </w:rPr>
        <w:t>Физические  и</w:t>
      </w:r>
      <w:proofErr w:type="gramEnd"/>
      <w:r>
        <w:rPr>
          <w:i/>
          <w:iCs/>
        </w:rPr>
        <w:t xml:space="preserve">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proofErr w:type="gramStart"/>
      <w:r>
        <w:rPr>
          <w:i/>
          <w:iCs/>
        </w:rPr>
        <w:t>находящиеся  в</w:t>
      </w:r>
      <w:proofErr w:type="gramEnd"/>
      <w:r>
        <w:rPr>
          <w:i/>
          <w:iCs/>
        </w:rPr>
        <w:t xml:space="preserve">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 xml:space="preserve">Лицом    </w:t>
      </w:r>
      <w:proofErr w:type="gramStart"/>
      <w:r>
        <w:rPr>
          <w:i/>
          <w:iCs/>
        </w:rPr>
        <w:t>находящимися  в</w:t>
      </w:r>
      <w:proofErr w:type="gramEnd"/>
      <w:r>
        <w:rPr>
          <w:i/>
          <w:iCs/>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571EC"/>
    <w:rsid w:val="00061379"/>
    <w:rsid w:val="00063FB0"/>
    <w:rsid w:val="000747B7"/>
    <w:rsid w:val="00087D69"/>
    <w:rsid w:val="000A065F"/>
    <w:rsid w:val="000C29D9"/>
    <w:rsid w:val="000F4E9D"/>
    <w:rsid w:val="00117C46"/>
    <w:rsid w:val="001429A5"/>
    <w:rsid w:val="00170516"/>
    <w:rsid w:val="00183809"/>
    <w:rsid w:val="00283CFC"/>
    <w:rsid w:val="002B0A09"/>
    <w:rsid w:val="002B1293"/>
    <w:rsid w:val="00305EB4"/>
    <w:rsid w:val="00316BA5"/>
    <w:rsid w:val="003313B7"/>
    <w:rsid w:val="004232B4"/>
    <w:rsid w:val="004828B9"/>
    <w:rsid w:val="00564BD7"/>
    <w:rsid w:val="005B1A65"/>
    <w:rsid w:val="005C062E"/>
    <w:rsid w:val="005E668E"/>
    <w:rsid w:val="00631324"/>
    <w:rsid w:val="00641D64"/>
    <w:rsid w:val="00663454"/>
    <w:rsid w:val="006949EF"/>
    <w:rsid w:val="006B459D"/>
    <w:rsid w:val="006E01E4"/>
    <w:rsid w:val="00722772"/>
    <w:rsid w:val="007D701D"/>
    <w:rsid w:val="008446B9"/>
    <w:rsid w:val="008862B6"/>
    <w:rsid w:val="00890C78"/>
    <w:rsid w:val="008A1B1C"/>
    <w:rsid w:val="00996E61"/>
    <w:rsid w:val="009D025E"/>
    <w:rsid w:val="009E2591"/>
    <w:rsid w:val="00A00018"/>
    <w:rsid w:val="00A35321"/>
    <w:rsid w:val="00A444A4"/>
    <w:rsid w:val="00A9043E"/>
    <w:rsid w:val="00AA70CC"/>
    <w:rsid w:val="00B57FED"/>
    <w:rsid w:val="00BA1B10"/>
    <w:rsid w:val="00BE6746"/>
    <w:rsid w:val="00C30CE6"/>
    <w:rsid w:val="00C57F4D"/>
    <w:rsid w:val="00C645B3"/>
    <w:rsid w:val="00C96C52"/>
    <w:rsid w:val="00D0777C"/>
    <w:rsid w:val="00D230FA"/>
    <w:rsid w:val="00D30FAE"/>
    <w:rsid w:val="00DF3CF7"/>
    <w:rsid w:val="00E022F8"/>
    <w:rsid w:val="00E66803"/>
    <w:rsid w:val="00E75740"/>
    <w:rsid w:val="00EB4E8A"/>
    <w:rsid w:val="00F06251"/>
    <w:rsid w:val="00F166ED"/>
    <w:rsid w:val="00F27D20"/>
    <w:rsid w:val="00F519A5"/>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5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s://catalog.lot-online.ru/images/docs/regulations/reglament_zadatok_bkr.pdf?_t=16588477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lot-online.ru/images/docs/regulations/reglament_prod.pdf?_t=1666941793"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13</Pages>
  <Words>4796</Words>
  <Characters>27341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32</cp:revision>
  <dcterms:created xsi:type="dcterms:W3CDTF">2021-04-20T04:32:00Z</dcterms:created>
  <dcterms:modified xsi:type="dcterms:W3CDTF">2023-05-17T05:34:00Z</dcterms:modified>
</cp:coreProperties>
</file>