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8D6B661" w:rsidR="00E41D4C" w:rsidRPr="00773BFF" w:rsidRDefault="0044061C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3B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773B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Pr="00773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773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773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73B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Pr="0077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773B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73BFF" w:rsidRDefault="00555595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73B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773BFF" w:rsidRDefault="00655998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91E7D84" w14:textId="2D3E753B" w:rsidR="0044061C" w:rsidRPr="00773BFF" w:rsidRDefault="0044061C" w:rsidP="0077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773BF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- 1 892 365 кв. м, адрес: Московская обл., Серпуховской р-н, в р-не д. Большое </w:t>
      </w:r>
      <w:proofErr w:type="spellStart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Грызлово</w:t>
      </w:r>
      <w:proofErr w:type="spellEnd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50:32:0080112:9, земли сельскохозяйственного назначения - для сельскохозяйственного производства, ограничения и обременения: на земельном участке расположен участок реконструируемой воздушной линии 10 КВ., необходимо предоставление возможности ПАО «</w:t>
      </w:r>
      <w:proofErr w:type="spellStart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Россети</w:t>
      </w:r>
      <w:proofErr w:type="spellEnd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Московский регион» осуществления реконструкции (срок реконструкции 11 месяцев), ограничения прав на земельный участок, предусмотренные статьями 56, 56.1 Земельного кодекса Российской Федерации, письмо Министерства экономического развития РФ №11882-ИМ/Д23 от08.06.2011, срок действия: 16.03.2015</w:t>
      </w:r>
      <w:r w:rsidRPr="00773BFF">
        <w:rPr>
          <w:rFonts w:ascii="Times New Roman" w:hAnsi="Times New Roman" w:cs="Times New Roman"/>
          <w:sz w:val="24"/>
          <w:szCs w:val="24"/>
        </w:rPr>
        <w:t xml:space="preserve">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16 917 520,99</w:t>
      </w:r>
      <w:r w:rsidR="00773BFF" w:rsidRPr="0077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sz w:val="24"/>
          <w:szCs w:val="24"/>
        </w:rPr>
        <w:t>руб.</w:t>
      </w:r>
    </w:p>
    <w:p w14:paraId="2C17DE19" w14:textId="67A063B1" w:rsidR="00041215" w:rsidRDefault="00773BFF" w:rsidP="00041215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BFF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</w:t>
      </w:r>
      <w:r w:rsidR="00C62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62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06E8F6F2" w14:textId="7D8D2D82" w:rsidR="00773BFF" w:rsidRPr="00773BFF" w:rsidRDefault="00773BFF" w:rsidP="00041215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BFF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 Лоту 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3BFF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1C20F96" w14:textId="50241965" w:rsidR="0044061C" w:rsidRPr="00773BFF" w:rsidRDefault="0044061C" w:rsidP="0077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- 503 кв. м, земельный участок - 1 521+/-14 кв. м, адрес: Московская область, Одинцовский р-н, д. </w:t>
      </w:r>
      <w:proofErr w:type="spellStart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Рождественно</w:t>
      </w:r>
      <w:proofErr w:type="spellEnd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, д. уч. 91, 2-этажный, кадастровые номера 50:20:0010310:1287, 50:20:0010310:557, земли населенных пунктов - для индивидуальной жилой застройки,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773BFF">
        <w:rPr>
          <w:rFonts w:ascii="Times New Roman" w:hAnsi="Times New Roman" w:cs="Times New Roman"/>
          <w:sz w:val="24"/>
          <w:szCs w:val="24"/>
        </w:rPr>
        <w:t xml:space="preserve">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47 338 508,95</w:t>
      </w:r>
      <w:r w:rsidR="00773BFF" w:rsidRPr="0077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2F9539DC" w:rsidR="00C56153" w:rsidRPr="00773BFF" w:rsidRDefault="0044061C" w:rsidP="0077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73BF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- 556,7 кв. м, земельный участок - 1 700 +/- 29 кв. м, адрес: Московская обл., Мытищинский р-н, с. п. </w:t>
      </w:r>
      <w:proofErr w:type="spellStart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Федоскинское</w:t>
      </w:r>
      <w:proofErr w:type="spellEnd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северо-восточнее д. </w:t>
      </w:r>
      <w:proofErr w:type="spellStart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, уч. 86, 3-этажный, в том числе подземных - 1, кадастровые номера 50:12:0060112:143, 50:12:0060111:244, земли населенных пунктов - для индивидуальной жилой застройки,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773BFF">
        <w:rPr>
          <w:rFonts w:ascii="Times New Roman" w:hAnsi="Times New Roman" w:cs="Times New Roman"/>
          <w:sz w:val="24"/>
          <w:szCs w:val="24"/>
        </w:rPr>
        <w:t xml:space="preserve">– </w:t>
      </w:r>
      <w:r w:rsidR="00011CB2" w:rsidRPr="00011CB2">
        <w:rPr>
          <w:rFonts w:ascii="Times New Roman" w:eastAsia="Times New Roman" w:hAnsi="Times New Roman" w:cs="Times New Roman"/>
          <w:color w:val="000000"/>
          <w:sz w:val="24"/>
          <w:szCs w:val="24"/>
        </w:rPr>
        <w:t>11 760 187,50</w:t>
      </w:r>
      <w:r w:rsidR="00011CB2" w:rsidRPr="0077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14351655" w14:textId="14CF085A" w:rsidR="00555595" w:rsidRPr="00773BFF" w:rsidRDefault="00555595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73BF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73BF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9C29D5C" w:rsidR="0003404B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73BF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F67DA" w:rsidRPr="00E8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мая </w:t>
      </w:r>
      <w:r w:rsidR="00002933" w:rsidRPr="00773B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73B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F67DA" w:rsidRPr="00E8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03 августа </w:t>
      </w:r>
      <w:r w:rsidR="00002933" w:rsidRPr="00773B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73B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174BC5" w:rsidR="0003404B" w:rsidRPr="00773BFF" w:rsidRDefault="0003404B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4F67DA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7DA" w:rsidRPr="00E8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</w:t>
      </w:r>
      <w:r w:rsidR="004F67DA"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B3CBA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7B3CBA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7B3CBA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7B3CBA" w:rsidRPr="0004121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773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936189" w14:textId="77777777" w:rsidR="00690332" w:rsidRPr="00773BFF" w:rsidRDefault="0003404B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690332" w:rsidRPr="0077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CEAB87" w14:textId="70963C4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лотов;</w:t>
      </w:r>
    </w:p>
    <w:p w14:paraId="6B973694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94,50% от начальной цены продажи лотов;</w:t>
      </w:r>
    </w:p>
    <w:p w14:paraId="2315B21F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89,00% от начальной цены продажи лотов;</w:t>
      </w:r>
    </w:p>
    <w:p w14:paraId="125F0789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16 июля 2023 г. - в размере 83,50% от начальной цены продажи лотов;</w:t>
      </w:r>
    </w:p>
    <w:p w14:paraId="62B0D60E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19 июля 2023 г. - в размере 78,00% от начальной цены продажи лотов;</w:t>
      </w:r>
    </w:p>
    <w:p w14:paraId="3510B546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22 июля 2023 г. - в размере 72,50% от начальной цены продажи лотов;</w:t>
      </w:r>
    </w:p>
    <w:p w14:paraId="5D06FE44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67,00% от начальной цены продажи лотов;</w:t>
      </w:r>
    </w:p>
    <w:p w14:paraId="70556D9D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61,50% от начальной цены продажи лотов;</w:t>
      </w:r>
    </w:p>
    <w:p w14:paraId="185B03FE" w14:textId="77777777" w:rsidR="00690332" w:rsidRPr="00773BFF" w:rsidRDefault="00690332" w:rsidP="00773B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56,00% от начальной цены продажи лотов;</w:t>
      </w:r>
    </w:p>
    <w:p w14:paraId="5667C283" w14:textId="76B4E6BC" w:rsidR="0003404B" w:rsidRPr="00773BFF" w:rsidRDefault="00690332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0E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03 августа 2023 г. - в размере 50,50% от начальной цены продажи лотов</w:t>
      </w:r>
      <w:r w:rsidRPr="00773B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73BFF" w:rsidRDefault="0003404B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73BF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73BFF" w:rsidRDefault="000C0BCC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73BFF" w:rsidRDefault="000C0BCC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73BFF" w:rsidRDefault="000C0BCC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73BFF" w:rsidRDefault="000C0BCC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773BFF" w:rsidRDefault="008F1609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73B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73BF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7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73BF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BF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73BFF" w:rsidRDefault="008F1609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73BFF" w:rsidRDefault="00FA425B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73BFF" w:rsidRDefault="008F1609" w:rsidP="00773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757B944" w:rsidR="008F6C92" w:rsidRPr="00773BFF" w:rsidRDefault="008F6C92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73BFF">
        <w:rPr>
          <w:rFonts w:ascii="Times New Roman" w:hAnsi="Times New Roman" w:cs="Times New Roman"/>
          <w:sz w:val="24"/>
          <w:szCs w:val="24"/>
        </w:rPr>
        <w:t xml:space="preserve"> д</w:t>
      </w:r>
      <w:r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41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7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73BFF">
        <w:rPr>
          <w:rFonts w:ascii="Times New Roman" w:hAnsi="Times New Roman" w:cs="Times New Roman"/>
          <w:sz w:val="24"/>
          <w:szCs w:val="24"/>
        </w:rPr>
        <w:t xml:space="preserve"> </w:t>
      </w: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73BFF" w:rsidRPr="00773BF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73BFF"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BFF" w:rsidRPr="00773BF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773BF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73BFF" w:rsidRDefault="004B74A7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73BFF" w:rsidRDefault="00B97A00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773BFF" w:rsidRDefault="00B97A00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73BFF" w:rsidRDefault="0003404B" w:rsidP="00773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73BF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1CB2"/>
    <w:rsid w:val="0001283D"/>
    <w:rsid w:val="0003404B"/>
    <w:rsid w:val="00041215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4061C"/>
    <w:rsid w:val="00495D59"/>
    <w:rsid w:val="004B74A7"/>
    <w:rsid w:val="004F67DA"/>
    <w:rsid w:val="00555595"/>
    <w:rsid w:val="005742CC"/>
    <w:rsid w:val="0058046C"/>
    <w:rsid w:val="005900FA"/>
    <w:rsid w:val="005A7B49"/>
    <w:rsid w:val="005F1F68"/>
    <w:rsid w:val="00621553"/>
    <w:rsid w:val="00655998"/>
    <w:rsid w:val="00690332"/>
    <w:rsid w:val="007058CC"/>
    <w:rsid w:val="00762232"/>
    <w:rsid w:val="00773BFF"/>
    <w:rsid w:val="00775C5B"/>
    <w:rsid w:val="007A10EE"/>
    <w:rsid w:val="007B3CBA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2DD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860E4"/>
    <w:rsid w:val="00EC0372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3150719-282E-450D-B1A8-EA90C7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3BFF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2019-07-23T07:53:00Z</dcterms:created>
  <dcterms:modified xsi:type="dcterms:W3CDTF">2023-05-22T08:05:00Z</dcterms:modified>
</cp:coreProperties>
</file>