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48" w:rsidRDefault="009A0765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D67E48" w:rsidRDefault="009A0765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proofErr w:type="gramStart"/>
      <w:r>
        <w:rPr>
          <w:b/>
          <w:sz w:val="28"/>
        </w:rPr>
        <w:t>продаже  имущества</w:t>
      </w:r>
      <w:proofErr w:type="gramEnd"/>
      <w:r>
        <w:rPr>
          <w:b/>
          <w:sz w:val="28"/>
        </w:rPr>
        <w:t xml:space="preserve">, </w:t>
      </w:r>
    </w:p>
    <w:p w:rsidR="00D67E48" w:rsidRDefault="009A0765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D67E48" w:rsidRDefault="009A0765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D67E48" w:rsidRDefault="009A0765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Электрон</w:t>
      </w:r>
      <w:r w:rsidR="00006D91">
        <w:rPr>
          <w:b/>
        </w:rPr>
        <w:t>ный аукцион будет проводиться 19</w:t>
      </w:r>
      <w:r>
        <w:rPr>
          <w:b/>
        </w:rPr>
        <w:t xml:space="preserve"> </w:t>
      </w:r>
      <w:proofErr w:type="gramStart"/>
      <w:r w:rsidR="00006D91">
        <w:rPr>
          <w:b/>
        </w:rPr>
        <w:t>мая</w:t>
      </w:r>
      <w:r>
        <w:rPr>
          <w:b/>
        </w:rPr>
        <w:t xml:space="preserve">  2023</w:t>
      </w:r>
      <w:proofErr w:type="gramEnd"/>
      <w:r>
        <w:rPr>
          <w:b/>
        </w:rPr>
        <w:t xml:space="preserve"> г. с 11:00 </w:t>
      </w:r>
    </w:p>
    <w:p w:rsidR="00D67E48" w:rsidRDefault="009A0765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D67E48" w:rsidRDefault="009A0765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D67E48" w:rsidRDefault="009A0765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D67E48" w:rsidRDefault="009A0765">
      <w:pPr>
        <w:ind w:left="1130" w:firstLine="0"/>
      </w:pPr>
      <w:r>
        <w:t xml:space="preserve">Прием заявок осуществляется </w:t>
      </w:r>
      <w:r w:rsidR="00006D91">
        <w:rPr>
          <w:shd w:val="clear" w:color="auto" w:fill="FFFFFF"/>
        </w:rPr>
        <w:t>с 15:00:00 24</w:t>
      </w:r>
      <w:r>
        <w:rPr>
          <w:shd w:val="clear" w:color="auto" w:fill="FFFFFF"/>
        </w:rPr>
        <w:t xml:space="preserve"> марта 2022 г. </w:t>
      </w:r>
      <w:r>
        <w:t>п</w:t>
      </w:r>
      <w:r w:rsidR="00006D91">
        <w:t>о 18</w:t>
      </w:r>
      <w:r>
        <w:t xml:space="preserve"> </w:t>
      </w:r>
      <w:r w:rsidR="00006D91">
        <w:t>ма</w:t>
      </w:r>
      <w:r>
        <w:t xml:space="preserve">я 2023 г. до 14:00:00 </w:t>
      </w:r>
    </w:p>
    <w:p w:rsidR="00D67E48" w:rsidRDefault="009A0765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D67E48" w:rsidRDefault="009A0765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D67E48" w:rsidRDefault="009A0765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>эл</w:t>
      </w:r>
      <w:r w:rsidR="00006D91">
        <w:rPr>
          <w:b/>
        </w:rPr>
        <w:t>ектронной площадки не позднее 18</w:t>
      </w:r>
      <w:r>
        <w:rPr>
          <w:b/>
        </w:rPr>
        <w:t xml:space="preserve"> </w:t>
      </w:r>
      <w:r w:rsidR="00006D91">
        <w:rPr>
          <w:b/>
        </w:rPr>
        <w:t>ма</w:t>
      </w:r>
      <w:r>
        <w:rPr>
          <w:b/>
        </w:rPr>
        <w:t xml:space="preserve">я 2023 г. 14:00. </w:t>
      </w:r>
    </w:p>
    <w:p w:rsidR="00D67E48" w:rsidRDefault="009A0765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006D91">
        <w:rPr>
          <w:b/>
        </w:rPr>
        <w:t>18</w:t>
      </w:r>
      <w:r>
        <w:rPr>
          <w:b/>
        </w:rPr>
        <w:t xml:space="preserve"> </w:t>
      </w:r>
      <w:r w:rsidR="00006D91">
        <w:rPr>
          <w:b/>
        </w:rPr>
        <w:t>ма</w:t>
      </w:r>
      <w:r>
        <w:rPr>
          <w:b/>
        </w:rPr>
        <w:t xml:space="preserve">я 2023 г. в 15:00. </w:t>
      </w:r>
    </w:p>
    <w:p w:rsidR="00D67E48" w:rsidRDefault="009A0765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D67E48" w:rsidRDefault="009A0765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D67E48" w:rsidRDefault="009A0765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D67E48" w:rsidRDefault="009A0765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D67E48" w:rsidRDefault="009A0765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D67E48" w:rsidRDefault="009A0765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D67E48" w:rsidRDefault="009A0765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D67E48" w:rsidRDefault="00D67E48">
      <w:pPr>
        <w:ind w:left="0" w:firstLine="0"/>
        <w:rPr>
          <w:color w:val="auto"/>
          <w:szCs w:val="24"/>
        </w:rPr>
      </w:pPr>
    </w:p>
    <w:p w:rsidR="00D67E48" w:rsidRDefault="009A0765">
      <w:pPr>
        <w:ind w:left="340" w:firstLine="0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color w:val="auto"/>
          <w:szCs w:val="24"/>
        </w:rPr>
        <w:t xml:space="preserve">       </w:t>
      </w: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1. Здание, Административное (учрежденческое), общей площадью </w:t>
      </w:r>
      <w:proofErr w:type="gram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2072.7 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кв.м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.</w:t>
      </w:r>
      <w:proofErr w:type="gram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, количество этажей: 2, в том числе подземных 0, назначение: нежилое, кадастровый № 78:12:0633102:3027, расположенное по адресу: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г.Санкт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-Петербург, Октябрьская набережная, дом 34, корпус 6, литера А.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 xml:space="preserve">Обременения (ограничения): 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согласно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выписке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 из ЕГРН от 26.01.2023: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- Аренда сроком с 01.04.2020 по 31.03.2025 в пользу Акционерного общества "Связь объектов транспорта и добычи нефти" (АО "</w:t>
      </w:r>
      <w:proofErr w:type="spell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Связьтранснефть</w:t>
      </w:r>
      <w:proofErr w:type="spell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"), ИНН: 7723011906; 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 xml:space="preserve">2. Земельный участок общей площадью 1613 +/- 14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кв.м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., категория земель: земли населенных пунктов; вид разрешенного использования: для размещения административно-управленческих и общественных </w:t>
      </w:r>
      <w:proofErr w:type="gram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объектов ;</w:t>
      </w:r>
      <w:proofErr w:type="gram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 кадастровый № 78:12:0633102:41, адрес: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г.Санкт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-Петербург, Октябрьская набережная, дом 34, корпус 6, литера А 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 xml:space="preserve"> Обременения (ограничения): 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согласно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выписке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 из ЕГРН от 26.01.2023;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 xml:space="preserve">3. Здание, Здание транспортно-хозяйственное, общей площадью 234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кв.м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., количество этажей: 1, в том числе подземных 0, назначение: нежилое, кадастровый № 78:12:0633102:3008, расположенное по адресу: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г.Санкт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-Петербург, Октябрьская набережная, дом 38 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 xml:space="preserve">Обременения (ограничения): 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согласно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выписке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 из ЕГРН от 26.01.2023 не зарегистрированы;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ab/>
        <w:t xml:space="preserve">4. Здание, Винипластовая мастерская, общей площадью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157 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кв.м</w:t>
      </w:r>
      <w:proofErr w:type="spell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.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, количество этажей: 1, в том числе подземных 0, назначение: нежилое, кадастровый № 78:12:0633102:3080, расположенное по адресу: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г.Санкт</w:t>
      </w:r>
      <w:proofErr w:type="spell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-Петербург, Октябрьская набережная, дом 38, литера БУ.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 xml:space="preserve">Обременения (ограничения): </w:t>
      </w: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согласно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выписке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 из ЕГРН от 26.0.2023 не зарегистрированы;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ab/>
        <w:t xml:space="preserve">5. Земельный участок общей площадью 2034 +/- 16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кв.м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., категория земель: земли населенных пунктов; вид разрешенного использования: для размещения промышленных объектов; кадастровый № 78:12:0633102:61, адрес: </w:t>
      </w:r>
      <w:proofErr w:type="spellStart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>г.Санкт</w:t>
      </w:r>
      <w:proofErr w:type="spellEnd"/>
      <w:r>
        <w:rPr>
          <w:rFonts w:ascii="Liberation Serif" w:eastAsia="SimSun;宋体" w:hAnsi="Liberation Serif" w:cs="Tahoma"/>
          <w:kern w:val="2"/>
          <w:szCs w:val="24"/>
          <w:lang w:eastAsia="hi-IN" w:bidi="hi-IN"/>
        </w:rPr>
        <w:t xml:space="preserve">-Петербург, Октябрьская набережная, дом 38, литера АВ </w:t>
      </w:r>
    </w:p>
    <w:p w:rsidR="00D67E48" w:rsidRDefault="009A0765">
      <w:pPr>
        <w:widowControl w:val="0"/>
        <w:suppressAutoHyphens/>
        <w:spacing w:after="0" w:line="240" w:lineRule="auto"/>
        <w:ind w:left="340" w:right="0" w:firstLine="0"/>
        <w:textAlignment w:val="baseline"/>
        <w:rPr>
          <w:rFonts w:ascii="Liberation Serif" w:eastAsia="NSimSun" w:hAnsi="Liberation Serif" w:cs="Mangal" w:hint="eastAsia"/>
          <w:kern w:val="2"/>
          <w:szCs w:val="24"/>
          <w:lang w:eastAsia="zh-CN" w:bidi="hi-IN"/>
        </w:rPr>
      </w:pPr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lastRenderedPageBreak/>
        <w:tab/>
        <w:t xml:space="preserve"> Обременения (ограничения): согласно </w:t>
      </w:r>
      <w:proofErr w:type="gramStart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>выписке</w:t>
      </w:r>
      <w:proofErr w:type="gramEnd"/>
      <w:r>
        <w:rPr>
          <w:rFonts w:ascii="Liberation Serif" w:eastAsia="SimSun;宋体" w:hAnsi="Liberation Serif" w:cs="Tahoma"/>
          <w:kern w:val="2"/>
          <w:szCs w:val="24"/>
          <w:shd w:val="clear" w:color="auto" w:fill="FFFFFF"/>
          <w:lang w:eastAsia="hi-IN" w:bidi="hi-IN"/>
        </w:rPr>
        <w:t xml:space="preserve"> из ЕГРН от 26.01.2023.</w:t>
      </w:r>
    </w:p>
    <w:p w:rsidR="00D67E48" w:rsidRDefault="00D67E48">
      <w:pPr>
        <w:rPr>
          <w:color w:val="auto"/>
          <w:szCs w:val="24"/>
        </w:rPr>
      </w:pPr>
    </w:p>
    <w:p w:rsidR="00D67E48" w:rsidRDefault="009A0765">
      <w:pPr>
        <w:pStyle w:val="af4"/>
        <w:ind w:left="360" w:right="60" w:firstLine="0"/>
        <w:rPr>
          <w:szCs w:val="24"/>
        </w:rPr>
      </w:pPr>
      <w:r>
        <w:rPr>
          <w:b/>
          <w:szCs w:val="24"/>
        </w:rPr>
        <w:tab/>
        <w:t xml:space="preserve">Начальная цена лота устанавливается в размере 138 000 000 (сто тридцать восемь миллионов) рублей, НДС включен, и состоит   </w:t>
      </w:r>
      <w:proofErr w:type="gramStart"/>
      <w:r>
        <w:rPr>
          <w:b/>
          <w:szCs w:val="24"/>
        </w:rPr>
        <w:t>из</w:t>
      </w:r>
      <w:r>
        <w:rPr>
          <w:b/>
          <w:sz w:val="22"/>
        </w:rPr>
        <w:t>:</w:t>
      </w:r>
      <w:r>
        <w:rPr>
          <w:b/>
          <w:sz w:val="22"/>
          <w:shd w:val="clear" w:color="auto" w:fill="FFFFFF"/>
        </w:rPr>
        <w:br/>
      </w:r>
      <w:r>
        <w:rPr>
          <w:b/>
          <w:sz w:val="22"/>
          <w:shd w:val="clear" w:color="auto" w:fill="FFFFFF"/>
        </w:rPr>
        <w:tab/>
      </w:r>
      <w:proofErr w:type="gramEnd"/>
      <w:r>
        <w:rPr>
          <w:szCs w:val="24"/>
          <w:shd w:val="clear" w:color="auto" w:fill="FFFFFF"/>
        </w:rPr>
        <w:t>- начальной цены Объекта 1 в размере 80 000 000 (восемьдесят миллионов) рублей;</w:t>
      </w:r>
    </w:p>
    <w:p w:rsidR="00D67E48" w:rsidRDefault="009A0765">
      <w:pPr>
        <w:pStyle w:val="af4"/>
        <w:ind w:left="360" w:right="60" w:firstLine="0"/>
        <w:rPr>
          <w:szCs w:val="24"/>
        </w:rPr>
      </w:pPr>
      <w:r>
        <w:rPr>
          <w:szCs w:val="24"/>
          <w:shd w:val="clear" w:color="auto" w:fill="FFFFFF"/>
        </w:rPr>
        <w:tab/>
        <w:t>- начальной цены Объекта 2 в размере 18 200 000 (восемнадцать миллионов двести тысяч) рублей;</w:t>
      </w:r>
    </w:p>
    <w:p w:rsidR="00D67E48" w:rsidRDefault="009A0765">
      <w:pPr>
        <w:pStyle w:val="af4"/>
        <w:ind w:left="360" w:right="60" w:firstLine="0"/>
        <w:rPr>
          <w:szCs w:val="24"/>
        </w:rPr>
      </w:pPr>
      <w:r>
        <w:rPr>
          <w:szCs w:val="24"/>
          <w:shd w:val="clear" w:color="auto" w:fill="FFFFFF"/>
        </w:rPr>
        <w:tab/>
        <w:t>- начальной цены Объекта 3 в размере 2 000 000 (два миллиона) рублей;</w:t>
      </w:r>
    </w:p>
    <w:p w:rsidR="00D67E48" w:rsidRDefault="009A0765">
      <w:pPr>
        <w:pStyle w:val="af4"/>
        <w:ind w:left="360" w:right="60" w:firstLine="0"/>
        <w:rPr>
          <w:szCs w:val="24"/>
        </w:rPr>
      </w:pPr>
      <w:r>
        <w:rPr>
          <w:szCs w:val="24"/>
          <w:shd w:val="clear" w:color="auto" w:fill="FFFFFF"/>
        </w:rPr>
        <w:tab/>
        <w:t>- начальной цены Объекта 4 в размере 1 300 000 (один миллион триста тысяч) рублей;</w:t>
      </w:r>
    </w:p>
    <w:p w:rsidR="00D67E48" w:rsidRDefault="009A0765">
      <w:pPr>
        <w:pStyle w:val="af4"/>
        <w:ind w:left="36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  <w:t xml:space="preserve">- </w:t>
      </w:r>
      <w:r>
        <w:rPr>
          <w:szCs w:val="24"/>
          <w:shd w:val="clear" w:color="auto" w:fill="FFFFFF"/>
        </w:rPr>
        <w:t xml:space="preserve">начальной цены Объекта 5 в размере 36 500 000 (тридцать шесть миллионов пятьсот тысяч) </w:t>
      </w:r>
      <w:proofErr w:type="gramStart"/>
      <w:r>
        <w:rPr>
          <w:szCs w:val="24"/>
          <w:shd w:val="clear" w:color="auto" w:fill="FFFFFF"/>
        </w:rPr>
        <w:t>рублей.</w:t>
      </w:r>
      <w:r>
        <w:rPr>
          <w:szCs w:val="24"/>
        </w:rPr>
        <w:t>;</w:t>
      </w:r>
      <w:proofErr w:type="gramEnd"/>
      <w:r>
        <w:rPr>
          <w:szCs w:val="24"/>
        </w:rPr>
        <w:t xml:space="preserve">   </w:t>
      </w:r>
    </w:p>
    <w:p w:rsidR="00D67E48" w:rsidRDefault="009A0765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 xml:space="preserve">Сумма задатка – 10 000 </w:t>
      </w:r>
      <w:proofErr w:type="gramStart"/>
      <w:r>
        <w:rPr>
          <w:b/>
          <w:szCs w:val="24"/>
        </w:rPr>
        <w:t>000  (</w:t>
      </w:r>
      <w:proofErr w:type="gramEnd"/>
      <w:r>
        <w:rPr>
          <w:b/>
          <w:szCs w:val="24"/>
        </w:rPr>
        <w:t xml:space="preserve">десять миллионов )  рублей.   </w:t>
      </w:r>
    </w:p>
    <w:p w:rsidR="00D67E48" w:rsidRDefault="009A0765">
      <w:pPr>
        <w:ind w:left="0" w:right="60" w:firstLine="360"/>
        <w:rPr>
          <w:szCs w:val="24"/>
        </w:rPr>
      </w:pPr>
      <w:r>
        <w:rPr>
          <w:b/>
          <w:szCs w:val="24"/>
        </w:rPr>
        <w:tab/>
        <w:t xml:space="preserve">Шаг аукциона </w:t>
      </w:r>
      <w:proofErr w:type="gramStart"/>
      <w:r>
        <w:rPr>
          <w:b/>
          <w:szCs w:val="24"/>
        </w:rPr>
        <w:t>–  500</w:t>
      </w:r>
      <w:proofErr w:type="gramEnd"/>
      <w:r>
        <w:rPr>
          <w:b/>
          <w:szCs w:val="24"/>
        </w:rPr>
        <w:t xml:space="preserve"> 000  (пятьсот тысяч ) рублей. </w:t>
      </w:r>
    </w:p>
    <w:p w:rsidR="00D67E48" w:rsidRDefault="009A0765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D67E48" w:rsidRDefault="00D67E48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D67E48" w:rsidRDefault="009A0765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D67E48" w:rsidRDefault="009A0765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D67E48" w:rsidRDefault="009A0765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D67E48" w:rsidRDefault="009A0765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D67E48" w:rsidRDefault="009A0765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D67E48" w:rsidRDefault="009A0765">
      <w:pPr>
        <w:ind w:left="718" w:right="60" w:firstLine="0"/>
        <w:rPr>
          <w:szCs w:val="24"/>
        </w:rPr>
      </w:pPr>
      <w:r>
        <w:rPr>
          <w:b/>
          <w:szCs w:val="24"/>
        </w:rPr>
        <w:lastRenderedPageBreak/>
        <w:t xml:space="preserve">Документы, необходимые для участия в аукционе в электронной форме: </w:t>
      </w:r>
    </w:p>
    <w:p w:rsidR="00D67E48" w:rsidRDefault="009A0765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D67E48" w:rsidRDefault="009A0765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D67E48" w:rsidRDefault="009A0765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D67E48" w:rsidRDefault="009A0765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D67E48" w:rsidRDefault="009A0765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D67E48" w:rsidRDefault="009A0765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</w:t>
      </w:r>
      <w:r>
        <w:rPr>
          <w:szCs w:val="24"/>
        </w:rPr>
        <w:lastRenderedPageBreak/>
        <w:t xml:space="preserve">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D67E48" w:rsidRDefault="009A0765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D67E48" w:rsidRDefault="009A0765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D67E48" w:rsidRDefault="00D67E48">
      <w:pPr>
        <w:ind w:left="0" w:right="60" w:firstLine="0"/>
        <w:rPr>
          <w:szCs w:val="24"/>
        </w:rPr>
      </w:pPr>
    </w:p>
    <w:p w:rsidR="00D67E48" w:rsidRDefault="009A0765">
      <w:pPr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</w:t>
      </w:r>
      <w:r w:rsidR="00006D91">
        <w:rPr>
          <w:b/>
          <w:szCs w:val="24"/>
        </w:rPr>
        <w:t xml:space="preserve"> на указанный счет не позднее 18 ма</w:t>
      </w:r>
      <w:bookmarkStart w:id="0" w:name="_GoBack"/>
      <w:bookmarkEnd w:id="0"/>
      <w:r>
        <w:rPr>
          <w:b/>
          <w:szCs w:val="24"/>
        </w:rPr>
        <w:t>я 2023 г.</w:t>
      </w:r>
      <w:r>
        <w:rPr>
          <w:szCs w:val="24"/>
        </w:rPr>
        <w:t xml:space="preserve">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D67E48" w:rsidRDefault="009A0765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D67E48" w:rsidRDefault="009A0765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</w:t>
      </w:r>
      <w:r>
        <w:rPr>
          <w:szCs w:val="24"/>
        </w:rPr>
        <w:lastRenderedPageBreak/>
        <w:t xml:space="preserve">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D67E48" w:rsidRDefault="009A0765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D67E48" w:rsidRDefault="009A0765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D67E48" w:rsidRDefault="009A0765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D67E48" w:rsidRDefault="009A0765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D67E48" w:rsidRDefault="009A0765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D67E48" w:rsidRDefault="00D67E48">
      <w:pPr>
        <w:spacing w:after="0" w:line="259" w:lineRule="auto"/>
        <w:ind w:left="708" w:right="60" w:firstLine="0"/>
        <w:jc w:val="left"/>
        <w:rPr>
          <w:szCs w:val="24"/>
        </w:rPr>
      </w:pPr>
    </w:p>
    <w:p w:rsidR="00D67E48" w:rsidRDefault="009A0765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D67E48" w:rsidRDefault="00D67E48">
      <w:pPr>
        <w:ind w:left="-15" w:right="60" w:firstLine="0"/>
        <w:rPr>
          <w:szCs w:val="24"/>
        </w:rPr>
      </w:pP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D67E48" w:rsidRDefault="00D67E48">
      <w:pPr>
        <w:ind w:left="-15" w:right="60" w:firstLine="0"/>
        <w:rPr>
          <w:szCs w:val="24"/>
        </w:rPr>
      </w:pPr>
    </w:p>
    <w:p w:rsidR="00D67E48" w:rsidRDefault="009A0765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D67E48" w:rsidRDefault="009A0765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D67E48" w:rsidRDefault="009A0765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D67E48" w:rsidRDefault="00D67E48">
      <w:pPr>
        <w:ind w:left="-15" w:right="60" w:firstLine="0"/>
        <w:rPr>
          <w:szCs w:val="24"/>
        </w:rPr>
      </w:pP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D67E48" w:rsidRDefault="009A0765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D67E48" w:rsidRDefault="009A0765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D67E48" w:rsidRDefault="009A0765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Объекта заключается между Победителем электронного аукциона/ единственным участником (</w:t>
      </w:r>
      <w:proofErr w:type="gramStart"/>
      <w:r>
        <w:rPr>
          <w:b/>
          <w:szCs w:val="24"/>
          <w:shd w:val="clear" w:color="auto" w:fill="FFFFFF"/>
        </w:rPr>
        <w:t>Покупателем)  в</w:t>
      </w:r>
      <w:proofErr w:type="gramEnd"/>
      <w:r>
        <w:rPr>
          <w:b/>
          <w:szCs w:val="24"/>
          <w:shd w:val="clear" w:color="auto" w:fill="FFFFFF"/>
        </w:rPr>
        <w:t xml:space="preserve"> течение 5 (Пяти) рабочих дней после проведения итогов аукциона (торгов).</w:t>
      </w:r>
    </w:p>
    <w:p w:rsidR="00D67E48" w:rsidRDefault="009A0765">
      <w:pPr>
        <w:ind w:left="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>Оплата цены продажи Объекта производится Покупателем за вычетом ранее внесённого задатка в соответствии с условиями договора купли-продажи.</w:t>
      </w:r>
    </w:p>
    <w:p w:rsidR="00D67E48" w:rsidRDefault="009A0765">
      <w:pPr>
        <w:ind w:left="-15" w:right="60" w:firstLine="0"/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D67E48" w:rsidRDefault="009A0765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купли-продажи, который</w:t>
      </w:r>
      <w:r>
        <w:rPr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подлежит нотариальному удостоверению в порядке, установленном законодательством Российской Федерации.</w:t>
      </w:r>
    </w:p>
    <w:p w:rsidR="00D67E48" w:rsidRDefault="009A0765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>Сделки по итогам торгов подл</w:t>
      </w:r>
      <w:r>
        <w:rPr>
          <w:rFonts w:eastAsia="Courier New"/>
          <w:bCs/>
          <w:szCs w:val="24"/>
        </w:rPr>
        <w:t>ежат заключению с учетом положений Указа Президента РФ №</w:t>
      </w:r>
      <w:proofErr w:type="gramStart"/>
      <w:r>
        <w:rPr>
          <w:rFonts w:eastAsia="Courier New"/>
          <w:bCs/>
          <w:szCs w:val="24"/>
        </w:rPr>
        <w:t xml:space="preserve">81 </w:t>
      </w:r>
      <w:r>
        <w:rPr>
          <w:rStyle w:val="cf01"/>
          <w:rFonts w:eastAsia="Courier New" w:cs="Times New Roman"/>
          <w:bCs/>
          <w:sz w:val="24"/>
          <w:szCs w:val="24"/>
        </w:rPr>
        <w:t xml:space="preserve"> от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proofErr w:type="gramStart"/>
      <w:r>
        <w:rPr>
          <w:rStyle w:val="cf01"/>
          <w:rFonts w:eastAsia="Courier New" w:cs="Times New Roman"/>
          <w:bCs/>
          <w:sz w:val="24"/>
          <w:szCs w:val="24"/>
        </w:rPr>
        <w:t>торгов с учетом положений Указа Президента РФ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несет покупатель.</w:t>
      </w:r>
    </w:p>
    <w:p w:rsidR="00D67E48" w:rsidRDefault="009A0765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</w:t>
      </w:r>
      <w:proofErr w:type="gramStart"/>
      <w:r>
        <w:rPr>
          <w:szCs w:val="24"/>
        </w:rPr>
        <w:t>вопросам  ознакомления</w:t>
      </w:r>
      <w:proofErr w:type="gramEnd"/>
      <w:r>
        <w:rPr>
          <w:szCs w:val="24"/>
        </w:rPr>
        <w:t xml:space="preserve">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+7 931 398 14 86, 8-800-777-57-57, доб.713. </w:t>
      </w:r>
    </w:p>
    <w:p w:rsidR="00D67E48" w:rsidRDefault="009A0765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D67E48" w:rsidRDefault="00D67E48">
      <w:pPr>
        <w:ind w:left="567" w:right="60" w:firstLine="0"/>
        <w:rPr>
          <w:szCs w:val="24"/>
        </w:rPr>
      </w:pPr>
    </w:p>
    <w:p w:rsidR="00D67E48" w:rsidRDefault="009A0765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D67E48" w:rsidRDefault="00D67E48">
      <w:pPr>
        <w:spacing w:after="0" w:line="259" w:lineRule="auto"/>
        <w:ind w:left="567" w:right="60" w:firstLine="0"/>
        <w:jc w:val="left"/>
        <w:rPr>
          <w:szCs w:val="24"/>
        </w:rPr>
      </w:pPr>
    </w:p>
    <w:p w:rsidR="00D67E48" w:rsidRDefault="009A0765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:rsidR="00D67E48" w:rsidRDefault="009A0765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выписки из ЕГРН</w:t>
      </w:r>
    </w:p>
    <w:sectPr w:rsidR="00D67E48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01BA3"/>
    <w:multiLevelType w:val="multilevel"/>
    <w:tmpl w:val="D272EFC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D1C2E43"/>
    <w:multiLevelType w:val="multilevel"/>
    <w:tmpl w:val="FD1CA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6A7B13"/>
    <w:multiLevelType w:val="multilevel"/>
    <w:tmpl w:val="B798D50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3A438E0"/>
    <w:multiLevelType w:val="multilevel"/>
    <w:tmpl w:val="4A700B5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6E26174"/>
    <w:multiLevelType w:val="multilevel"/>
    <w:tmpl w:val="DF4275B4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48"/>
    <w:rsid w:val="00006D91"/>
    <w:rsid w:val="0029052E"/>
    <w:rsid w:val="009A0765"/>
    <w:rsid w:val="00D6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A8A58-A7EE-4CFC-A5E7-292F36B1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0814-AF63-470E-A366-1A89E766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4</cp:revision>
  <dcterms:created xsi:type="dcterms:W3CDTF">2023-03-23T07:11:00Z</dcterms:created>
  <dcterms:modified xsi:type="dcterms:W3CDTF">2023-03-24T10:32:00Z</dcterms:modified>
  <dc:language>ru-RU</dc:language>
</cp:coreProperties>
</file>