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11" w:rsidRPr="00940788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DB0EDD">
        <w:rPr>
          <w:rFonts w:ascii="Times New Roman" w:hAnsi="Times New Roman" w:cs="Times New Roman"/>
          <w:sz w:val="20"/>
          <w:szCs w:val="20"/>
        </w:rPr>
        <w:t>vega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B0EDD">
        <w:rPr>
          <w:rFonts w:ascii="Times New Roman" w:hAnsi="Times New Roman" w:cs="Times New Roman"/>
          <w:sz w:val="20"/>
          <w:szCs w:val="20"/>
        </w:rPr>
        <w:t>auction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B0EDD">
        <w:rPr>
          <w:rFonts w:ascii="Times New Roman" w:hAnsi="Times New Roman" w:cs="Times New Roman"/>
          <w:sz w:val="20"/>
          <w:szCs w:val="20"/>
        </w:rPr>
        <w:t>house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B0EDD">
        <w:rPr>
          <w:rFonts w:ascii="Times New Roman" w:hAnsi="Times New Roman" w:cs="Times New Roman"/>
          <w:sz w:val="20"/>
          <w:szCs w:val="20"/>
        </w:rPr>
        <w:t>ru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ООО </w:t>
      </w:r>
      <w:r w:rsidRPr="00DB0ED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«</w:t>
      </w:r>
      <w:r w:rsidR="005E4B93" w:rsidRPr="00DB0EDD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Горячая линия недвижимости»</w:t>
      </w:r>
      <w:r w:rsidR="0049569B" w:rsidRPr="00DB0ED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bCs/>
          <w:iCs/>
          <w:sz w:val="20"/>
          <w:szCs w:val="20"/>
          <w:lang w:val="ru-RU"/>
        </w:rPr>
        <w:t>7736583587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управляющего </w:t>
      </w:r>
      <w:r w:rsidR="005E4B93" w:rsidRPr="00DB0EDD">
        <w:rPr>
          <w:rFonts w:ascii="Times New Roman" w:hAnsi="Times New Roman" w:cs="Times New Roman"/>
          <w:b/>
          <w:sz w:val="20"/>
          <w:szCs w:val="20"/>
          <w:lang w:val="ru-RU"/>
        </w:rPr>
        <w:t>Карпенко А</w:t>
      </w:r>
      <w:r w:rsidR="0049569B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E4B93" w:rsidRPr="00DB0EDD">
        <w:rPr>
          <w:rFonts w:ascii="Times New Roman" w:hAnsi="Times New Roman" w:cs="Times New Roman"/>
          <w:b/>
          <w:sz w:val="20"/>
          <w:szCs w:val="20"/>
          <w:lang w:val="ru-RU"/>
        </w:rPr>
        <w:t>Ю</w:t>
      </w:r>
      <w:r w:rsidR="0049569B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9569B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505077824204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Союза АУ «СРО СС»</w:t>
      </w:r>
      <w:r w:rsidR="0049569B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(ИНН </w:t>
      </w:r>
      <w:r w:rsidR="005E4B93" w:rsidRPr="00DB0EDD">
        <w:rPr>
          <w:rFonts w:ascii="Times New Roman" w:hAnsi="Times New Roman" w:cs="Times New Roman"/>
          <w:sz w:val="20"/>
          <w:szCs w:val="20"/>
          <w:lang w:val="ru-RU"/>
        </w:rPr>
        <w:t>7813175754</w:t>
      </w:r>
      <w:r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действующего на осн. 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решения от 30.01.2020 </w:t>
      </w:r>
      <w:r w:rsidR="0049569B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и определения 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>от 06.04.2021 Арбитражного суда города Москвы</w:t>
      </w:r>
      <w:r w:rsidR="0049569B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 по делу №</w:t>
      </w:r>
      <w:r w:rsidR="005E4B93" w:rsidRPr="00940788">
        <w:rPr>
          <w:rFonts w:ascii="Times New Roman" w:hAnsi="Times New Roman" w:cs="Times New Roman"/>
          <w:sz w:val="20"/>
          <w:szCs w:val="20"/>
          <w:lang w:val="ru-RU"/>
        </w:rPr>
        <w:t>А40-89809/2019-169-77</w:t>
      </w:r>
      <w:r w:rsidR="00957EC1"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, сообщает </w:t>
      </w:r>
      <w:r w:rsidR="00957EC1" w:rsidRPr="00940788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проведении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открытых электронных торгов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hyperlink r:id="rId8" w:history="1"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http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lot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online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r w:rsidR="005E4B93" w:rsidRPr="0094078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  <w:r w:rsidR="005E4B93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342B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(далее - ЭП) путем 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06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18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19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07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7E2039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CC4AFE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Начальная цена 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(далее – нач. цена)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Лот 1 – 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66 150 000 </w:t>
      </w:r>
      <w:r w:rsidR="0014778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AD0137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; Лот 2 - 25 000 000 руб.; Лот 3 - 800 000 руб.</w:t>
      </w:r>
    </w:p>
    <w:p w:rsidR="00AF4511" w:rsidRPr="00940788" w:rsidRDefault="0014778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Торги признаны несостоявшимися, ОТ сообщает о проведении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повторных открытых электронных торгов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(далее – </w:t>
      </w:r>
      <w:r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на ЭП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28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09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09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940788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A53855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участников торгов.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 Лот 1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– 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59 535 000 </w:t>
      </w:r>
      <w:r w:rsidR="00A53855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руб.</w:t>
      </w:r>
      <w:r w:rsidR="00940788" w:rsidRPr="0094078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; Лот 2 – 22 500 000 руб.; Лот 3 – 720 000 руб.</w:t>
      </w:r>
    </w:p>
    <w:p w:rsidR="00305A1E" w:rsidRPr="00940788" w:rsidRDefault="00E12860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 случае признания Торгов, повторных Торгов несостоявшимися, на ЭП проводятся торги посредством публичного предложения (далее –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Торги ППП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Начало приема заявок на участие в Торгах ППП – 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15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.202</w:t>
      </w:r>
      <w:r w:rsidR="00940788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3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г.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17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час. 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>00</w:t>
      </w:r>
      <w:r w:rsidR="002A1222"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мин</w:t>
      </w:r>
      <w:r w:rsidRPr="0094078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. 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Нач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цена Лот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ов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Т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оргах ППП на 1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-ом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периоде устанавливается в размере нач</w:t>
      </w:r>
      <w:r w:rsidR="002A1222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цены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Лотов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повторных Торгах сроком на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я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даты начала приема заявок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с 2-го по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21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-ый периоды –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4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рабочих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дн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я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, величина снижения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59434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с 2-го по 20-й периоды на 5% от нач. цены публичного предложения на 1-м периоде Торгов ППП, на 21-м периоде величина снижения по Лоту 1 на 2 559 750 руб.; по Лоту 2 на 207 000 руб.; по Лоту 3 на 15 000 руб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. Минимальная цена (цена отсечения)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="008C7F27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40788"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>Лот 1 – 417 000 руб.; Лот 2 – 918 000 руб.; Лот 3 – 21 000 руб.</w:t>
      </w:r>
      <w:r w:rsidRPr="0094078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участника победителем оформляется протоколом об итогах Торгов</w:t>
      </w:r>
      <w:r w:rsidR="00622CD7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который размещается на ЭП. С даты определения победителя Торгов</w:t>
      </w:r>
      <w:r w:rsidR="00622CD7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ППП</w:t>
      </w:r>
      <w:r w:rsidR="007C3AA0" w:rsidRPr="0094078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прием заявок прекращается. </w:t>
      </w:r>
    </w:p>
    <w:p w:rsidR="00AD0137" w:rsidRPr="00940788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Продаже подлежит имущество (далее – Имущество, Лот): </w:t>
      </w:r>
    </w:p>
    <w:p w:rsidR="00305A1E" w:rsidRPr="00AD0137" w:rsidRDefault="008E43BD" w:rsidP="00622CD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0788">
        <w:rPr>
          <w:rFonts w:ascii="Times New Roman" w:hAnsi="Times New Roman" w:cs="Times New Roman"/>
          <w:b/>
          <w:sz w:val="20"/>
          <w:szCs w:val="20"/>
          <w:lang w:val="ru-RU"/>
        </w:rPr>
        <w:t>Лот 1:</w:t>
      </w:r>
      <w:r w:rsidRPr="009407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D0137" w:rsidRPr="00940788">
        <w:rPr>
          <w:rFonts w:ascii="Times New Roman" w:hAnsi="Times New Roman" w:cs="Times New Roman"/>
          <w:sz w:val="20"/>
          <w:szCs w:val="20"/>
          <w:lang w:val="ru-RU"/>
        </w:rPr>
        <w:t>Право требования к Тахири Азар Мамед</w:t>
      </w:r>
      <w:r w:rsidR="00AD0137"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Оглы (ИНН 500402804372) в размере 66 150 000,00 руб. на основании определения Арбитражного суда города Москвы от 10.06.2022 по делу №А40-89809/2019</w:t>
      </w:r>
      <w:r w:rsidR="00305A1E" w:rsidRPr="00AD013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D0137" w:rsidRPr="00AD0137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Лот 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>Право требования к Тахири Фируз Мамед Оглы (ИНН 501210970770) в размере 25 000 000,00 руб. на основании определения Арбитражного суда города Москвы от 17.08.2022 по делу №А40-89809/2019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D0137" w:rsidRPr="00AD0137" w:rsidRDefault="00AD0137" w:rsidP="00AD013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Лот 3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>Право требования к ООО «Велюр» (ИНН 7703411455) в размере 800 000,00 руб. на основании определения Арбитражного суда города Москвы от 22.04.2022 по делу №А40-89809/2019</w:t>
      </w:r>
      <w:r w:rsidRPr="00AD013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32B01" w:rsidRPr="00AD0137" w:rsidRDefault="00F32B01" w:rsidP="00AD013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 w:bidi="ru-RU"/>
        </w:rPr>
      </w:pPr>
      <w:r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Ознакомление с документами в отношении Лотов производится по предварительной договоренности в рабочие дни с 11:00 до 17:00, тел.: +7 (930)770 02 05, эл. почта: </w:t>
      </w:r>
      <w:r w:rsidRPr="00AD0137">
        <w:rPr>
          <w:rFonts w:ascii="Times New Roman" w:hAnsi="Times New Roman" w:cs="Times New Roman"/>
          <w:sz w:val="20"/>
          <w:szCs w:val="20"/>
          <w:u w:val="single"/>
          <w:lang w:val="ru-RU" w:bidi="ru-RU"/>
        </w:rPr>
        <w:t>GLN.karpenko@sross.ru</w:t>
      </w:r>
      <w:r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(АУ Карпенко А.Ю.)</w:t>
      </w:r>
      <w:r w:rsidR="00DB0EDD" w:rsidRPr="00AD0137">
        <w:rPr>
          <w:rFonts w:ascii="Times New Roman" w:hAnsi="Times New Roman" w:cs="Times New Roman"/>
          <w:sz w:val="20"/>
          <w:szCs w:val="20"/>
          <w:lang w:val="ru-RU" w:bidi="ru-RU"/>
        </w:rPr>
        <w:t>, а также у ОТ: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т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>ел. 8(499)395-00-20 (с 9.00 до 18.00 по М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>ск.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в раб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дни)</w:t>
      </w:r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 xml:space="preserve"> </w:t>
      </w:r>
      <w:hyperlink r:id="rId9" w:history="1">
        <w:r w:rsidR="00AD0137" w:rsidRPr="00AD0137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informmsk@auction-house.ru</w:t>
        </w:r>
      </w:hyperlink>
      <w:r w:rsidR="00AD0137" w:rsidRPr="00AD0137">
        <w:rPr>
          <w:rFonts w:ascii="Times New Roman" w:hAnsi="Times New Roman" w:cs="Times New Roman"/>
          <w:sz w:val="20"/>
          <w:szCs w:val="20"/>
          <w:lang w:val="ru-RU" w:bidi="ru-RU"/>
        </w:rPr>
        <w:t>.</w:t>
      </w:r>
    </w:p>
    <w:p w:rsidR="00F32B01" w:rsidRPr="00BA505D" w:rsidRDefault="00957EC1" w:rsidP="00BA505D">
      <w:pPr>
        <w:ind w:firstLine="680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Торгов, повторных Торгов 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7C3AA0" w:rsidRPr="00AD0137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0% от нач</w:t>
      </w:r>
      <w:r w:rsidR="008C3167" w:rsidRPr="00AD013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83EE8" w:rsidRPr="00AD0137">
        <w:rPr>
          <w:rFonts w:ascii="Times New Roman" w:hAnsi="Times New Roman" w:cs="Times New Roman"/>
          <w:b/>
          <w:sz w:val="20"/>
          <w:szCs w:val="20"/>
          <w:lang w:val="ru-RU"/>
        </w:rPr>
        <w:t>ш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>аг аукциона – 5% от нач</w:t>
      </w:r>
      <w:r w:rsidR="008C3167" w:rsidRPr="00AD0137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Лота.</w:t>
      </w:r>
      <w:r w:rsidR="00622CD7" w:rsidRPr="00AD01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AD013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Задаток для </w:t>
      </w:r>
      <w:r w:rsidR="003D46FA" w:rsidRPr="00AD0137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DE2CE1" w:rsidRPr="00AD0137">
        <w:rPr>
          <w:rFonts w:ascii="Times New Roman" w:hAnsi="Times New Roman" w:cs="Times New Roman"/>
          <w:b/>
          <w:sz w:val="20"/>
          <w:szCs w:val="20"/>
          <w:lang w:val="ru-RU"/>
        </w:rPr>
        <w:t>оргов ППП</w:t>
      </w:r>
      <w:r w:rsidR="00DE2CE1"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 10</w:t>
      </w:r>
      <w:r w:rsidR="005160D8" w:rsidRPr="00DB0EDD">
        <w:rPr>
          <w:rFonts w:ascii="Times New Roman" w:hAnsi="Times New Roman" w:cs="Times New Roman"/>
          <w:b/>
          <w:sz w:val="20"/>
          <w:szCs w:val="20"/>
          <w:lang w:val="ru-RU"/>
        </w:rPr>
        <w:t>% от нач</w:t>
      </w:r>
      <w:r w:rsidR="002A1222" w:rsidRPr="00DB0ED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622CD7" w:rsidRPr="00DB0E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цены Л</w:t>
      </w:r>
      <w:r w:rsidR="00BC2484" w:rsidRPr="00DB0EDD">
        <w:rPr>
          <w:rFonts w:ascii="Times New Roman" w:hAnsi="Times New Roman" w:cs="Times New Roman"/>
          <w:b/>
          <w:sz w:val="20"/>
          <w:szCs w:val="20"/>
          <w:lang w:val="ru-RU"/>
        </w:rPr>
        <w:t>ота, установленный для определенного периода Т</w:t>
      </w:r>
      <w:r w:rsidR="005160D8" w:rsidRPr="00DB0EDD">
        <w:rPr>
          <w:rFonts w:ascii="Times New Roman" w:hAnsi="Times New Roman" w:cs="Times New Roman"/>
          <w:b/>
          <w:sz w:val="20"/>
          <w:szCs w:val="20"/>
          <w:lang w:val="ru-RU"/>
        </w:rPr>
        <w:t>оргов ППП,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должен поступить на счет ОТ не позднее даты и времени окончания приема за</w:t>
      </w:r>
      <w:r w:rsidR="00622CD7" w:rsidRPr="00DB0ED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>вок</w:t>
      </w:r>
      <w:r w:rsidR="00622CD7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для участия в </w:t>
      </w:r>
      <w:r w:rsidR="003D46FA" w:rsidRPr="00DB0ED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5160D8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оргах ППП в соответствующем периоде проведения торгов ППП. 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Средства для проведения операций по обеспечению участия в электронны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>х процедурах. НДС не облагается</w:t>
      </w:r>
      <w:r w:rsidR="00DE2CE1" w:rsidRPr="00DB0EDD">
        <w:rPr>
          <w:rFonts w:ascii="Times New Roman" w:hAnsi="Times New Roman" w:cs="Times New Roman"/>
          <w:sz w:val="20"/>
          <w:szCs w:val="20"/>
          <w:lang w:val="ru-RU"/>
        </w:rPr>
        <w:t>».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04DE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Документом, подтверждающим поступление задатка на счет ОТ, является выписка со счета ОТ. </w:t>
      </w:r>
      <w:r w:rsidR="00DB0EDD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="00E204DE" w:rsidRPr="00DB0EDD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</w:t>
      </w:r>
      <w:r w:rsidR="00DE2CE1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имеет право отменить торги в любое время до момента подведения итогов.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, повторных Торгов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 торгов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Победителем </w:t>
      </w:r>
      <w:r w:rsidR="00622CD7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оргов ППП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признается участник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оргов, который представил в установл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енный срок заявку на участие в 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оргах, содержащую предложение о цене Лота, которая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при отсутствии предложений других участников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оргов. В случае, если несколько участников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представили в установленный срок заявки, содержащие различные предложения о цене Лота, но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Лота, установленной для определенного периода проведения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победителем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признается участник, предложивший максимальную цену за Лот. В случае, если несколько участников 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 представили в установленный срок заявки, содержащие равные предложения о цене Лота, но не ниже нач</w:t>
      </w:r>
      <w:r w:rsidR="002A1222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цены продажи Лота, установленной для определенного периода проведения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победителем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оргов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признается участник, который первым представил в установленный срок заявку на участие в 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оргах</w:t>
      </w:r>
      <w:r w:rsidR="008A205E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ППП</w:t>
      </w:r>
      <w:r w:rsidR="00A33CAF" w:rsidRPr="00BA50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1C0B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>Проект договора купли-продажи</w:t>
      </w:r>
      <w:r w:rsidR="00996278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5 дней с даты получения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>победителем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BA505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BA505D"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BA505D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р/с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40701810800900001818 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в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АО «Банк ДОМ.РФ»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к/с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30101810345250000266</w:t>
      </w:r>
      <w:r w:rsidR="00F50EC2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БИК </w:t>
      </w:r>
      <w:r w:rsidR="00BA505D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044525266</w:t>
      </w:r>
      <w:r w:rsidR="0049335B" w:rsidRPr="00BA505D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F32B01" w:rsidRPr="00BA505D" w:rsidSect="00B52914">
      <w:pgSz w:w="11906" w:h="16838"/>
      <w:pgMar w:top="567" w:right="42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8" w:rsidRDefault="007F2648" w:rsidP="00FE1E33">
      <w:r>
        <w:separator/>
      </w:r>
    </w:p>
  </w:endnote>
  <w:endnote w:type="continuationSeparator" w:id="0">
    <w:p w:rsidR="007F2648" w:rsidRDefault="007F2648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8" w:rsidRDefault="007F2648" w:rsidP="00FE1E33">
      <w:r>
        <w:separator/>
      </w:r>
    </w:p>
  </w:footnote>
  <w:footnote w:type="continuationSeparator" w:id="0">
    <w:p w:rsidR="007F2648" w:rsidRDefault="007F2648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A00E3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B2EB9"/>
    <w:rsid w:val="00201387"/>
    <w:rsid w:val="00203371"/>
    <w:rsid w:val="002109D8"/>
    <w:rsid w:val="00220D13"/>
    <w:rsid w:val="00231CB8"/>
    <w:rsid w:val="00273968"/>
    <w:rsid w:val="00275D24"/>
    <w:rsid w:val="002A1222"/>
    <w:rsid w:val="00305A1E"/>
    <w:rsid w:val="00321DFA"/>
    <w:rsid w:val="00336DC2"/>
    <w:rsid w:val="003655EE"/>
    <w:rsid w:val="00390A28"/>
    <w:rsid w:val="003D0088"/>
    <w:rsid w:val="003D071E"/>
    <w:rsid w:val="003D46FA"/>
    <w:rsid w:val="003D774E"/>
    <w:rsid w:val="00413D03"/>
    <w:rsid w:val="004227A7"/>
    <w:rsid w:val="00460523"/>
    <w:rsid w:val="00487F3A"/>
    <w:rsid w:val="0049335B"/>
    <w:rsid w:val="0049569B"/>
    <w:rsid w:val="004C427D"/>
    <w:rsid w:val="004C645B"/>
    <w:rsid w:val="004D3058"/>
    <w:rsid w:val="004D4886"/>
    <w:rsid w:val="004F0F59"/>
    <w:rsid w:val="005041D2"/>
    <w:rsid w:val="00515D05"/>
    <w:rsid w:val="005160D8"/>
    <w:rsid w:val="00556B26"/>
    <w:rsid w:val="0056183E"/>
    <w:rsid w:val="00565CA3"/>
    <w:rsid w:val="00573F80"/>
    <w:rsid w:val="00594348"/>
    <w:rsid w:val="005E4B93"/>
    <w:rsid w:val="005F3E56"/>
    <w:rsid w:val="00622CD7"/>
    <w:rsid w:val="00642A4F"/>
    <w:rsid w:val="00654E9C"/>
    <w:rsid w:val="00677E82"/>
    <w:rsid w:val="006C50C1"/>
    <w:rsid w:val="0071333C"/>
    <w:rsid w:val="00741C0B"/>
    <w:rsid w:val="00747530"/>
    <w:rsid w:val="00752C20"/>
    <w:rsid w:val="007A1C16"/>
    <w:rsid w:val="007A1E86"/>
    <w:rsid w:val="007C3AA0"/>
    <w:rsid w:val="007D0894"/>
    <w:rsid w:val="007E2039"/>
    <w:rsid w:val="007F2648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40788"/>
    <w:rsid w:val="00942C91"/>
    <w:rsid w:val="00957EC1"/>
    <w:rsid w:val="00983EE8"/>
    <w:rsid w:val="00991CD8"/>
    <w:rsid w:val="00996278"/>
    <w:rsid w:val="009B28CB"/>
    <w:rsid w:val="009D1AB1"/>
    <w:rsid w:val="00A33CAF"/>
    <w:rsid w:val="00A40EB6"/>
    <w:rsid w:val="00A53855"/>
    <w:rsid w:val="00A732CD"/>
    <w:rsid w:val="00A96517"/>
    <w:rsid w:val="00AB0DB0"/>
    <w:rsid w:val="00AC0AFC"/>
    <w:rsid w:val="00AD0137"/>
    <w:rsid w:val="00AE3E67"/>
    <w:rsid w:val="00AF4511"/>
    <w:rsid w:val="00B15049"/>
    <w:rsid w:val="00B52914"/>
    <w:rsid w:val="00B55CA3"/>
    <w:rsid w:val="00BA505D"/>
    <w:rsid w:val="00BC2484"/>
    <w:rsid w:val="00BE53E7"/>
    <w:rsid w:val="00BF24D4"/>
    <w:rsid w:val="00C070E8"/>
    <w:rsid w:val="00CB6895"/>
    <w:rsid w:val="00CC4AFE"/>
    <w:rsid w:val="00CD732D"/>
    <w:rsid w:val="00D03490"/>
    <w:rsid w:val="00D243AB"/>
    <w:rsid w:val="00D406A9"/>
    <w:rsid w:val="00D958F9"/>
    <w:rsid w:val="00DA5334"/>
    <w:rsid w:val="00DB0EDD"/>
    <w:rsid w:val="00DE2CE1"/>
    <w:rsid w:val="00DE302A"/>
    <w:rsid w:val="00E041CA"/>
    <w:rsid w:val="00E12860"/>
    <w:rsid w:val="00E204DE"/>
    <w:rsid w:val="00E25D9D"/>
    <w:rsid w:val="00E60808"/>
    <w:rsid w:val="00EE2947"/>
    <w:rsid w:val="00F16B17"/>
    <w:rsid w:val="00F27CEE"/>
    <w:rsid w:val="00F32B01"/>
    <w:rsid w:val="00F41BB6"/>
    <w:rsid w:val="00F42103"/>
    <w:rsid w:val="00F50EC2"/>
    <w:rsid w:val="00F546EC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0ED2-6F1D-4B2A-9DC0-B05B40C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0">
    <w:name w:val="List Paragraph"/>
    <w:basedOn w:val="a"/>
    <w:link w:val="af1"/>
    <w:uiPriority w:val="99"/>
    <w:qFormat/>
    <w:rsid w:val="00305A1E"/>
    <w:pPr>
      <w:ind w:left="720"/>
      <w:contextualSpacing/>
    </w:pPr>
  </w:style>
  <w:style w:type="table" w:styleId="af2">
    <w:name w:val="Table Grid"/>
    <w:basedOn w:val="a1"/>
    <w:rsid w:val="003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rsid w:val="00305A1E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541-93E7-4F5C-A699-6C131B1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10</cp:revision>
  <cp:lastPrinted>2021-05-20T12:59:00Z</cp:lastPrinted>
  <dcterms:created xsi:type="dcterms:W3CDTF">2022-04-14T07:56:00Z</dcterms:created>
  <dcterms:modified xsi:type="dcterms:W3CDTF">2023-05-29T13:08:00Z</dcterms:modified>
</cp:coreProperties>
</file>