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09.06.2023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Брюнеткина Анна Николаевна (25.08.1984г.р., место рожд: гор. Пап Папского р-на Наманганской обл., адрес рег: 600031, Владимирская обл, Владимир г, Добросельская ул, дом № 195В, квартира 97, СНИЛС06523393357, ИНН 332919738564, паспорт РФ серия 1706, номер 748520, выдан 07.08.2007, кем выдан Отделом УФМС России по Владимирской области в Фрунзенском районе гор. Владимира, код подразделения 330-017),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Владимирской области от 17.01.2023г. по делу №А11-9889/2022,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18.07.2023г. по продаже имущества Брюнеткиной Анны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Земельный участок, площадь: 448м², адрес (местонахождение): 601300, Владимирская обл, Камешковский р-н, Тереховицы д, Магистраль снт, дом № 110, разрешенное использование: ведение садоводства, кадастровый номер: 33:06:084201:1030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18.07.2023г. на сайте https://lot-online.ru/, и указана в Протоколе  от 18.07.2023г.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Стоян Роман Сергеевич (ИНН 745310520162)</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Брюнеткина Анна Николаевна (25.08.1984г.р., место рожд: гор. Пап Папского р-на Наманганской обл., адрес рег: 600031, Владимирская обл, Владимир г, Добросельская ул, дом № 195В, квартира 97, СНИЛС06523393357, ИНН 332919738564, паспорт РФ серия 1706, номер 748520, выдан 07.08.2007, кем выдан Отделом УФМС России по Владимирской области в Фрунзенском районе гор. Владимира, код подразделения 330-017)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Стоян Роман Сергеевич (ИНН 745310520162)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Брюнеткиной Анны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