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7254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13BFE864" w14:textId="77777777" w:rsidR="002E3A72" w:rsidRPr="002E3A72" w:rsidRDefault="002E3A72" w:rsidP="002E3A72">
      <w:pPr>
        <w:pStyle w:val="a3"/>
        <w:rPr>
          <w:rFonts w:ascii="Verdana" w:hAnsi="Verdana"/>
          <w:b/>
          <w:sz w:val="20"/>
        </w:rPr>
      </w:pPr>
      <w:r w:rsidRPr="002E3A72">
        <w:rPr>
          <w:rFonts w:ascii="Verdana" w:hAnsi="Verdana"/>
          <w:b/>
          <w:sz w:val="20"/>
        </w:rPr>
        <w:t>Договор</w:t>
      </w:r>
    </w:p>
    <w:p w14:paraId="4442FB1A" w14:textId="77777777" w:rsidR="002E3A72" w:rsidRPr="002E3A72" w:rsidRDefault="002E3A72" w:rsidP="002E3A72">
      <w:pPr>
        <w:pStyle w:val="a3"/>
        <w:rPr>
          <w:rFonts w:ascii="Verdana" w:hAnsi="Verdana"/>
          <w:b/>
          <w:sz w:val="20"/>
        </w:rPr>
      </w:pPr>
      <w:r w:rsidRPr="002E3A72">
        <w:rPr>
          <w:rFonts w:ascii="Verdana" w:hAnsi="Verdana"/>
          <w:b/>
          <w:sz w:val="20"/>
        </w:rPr>
        <w:t>купли-продажи недвижимого имущества</w:t>
      </w:r>
    </w:p>
    <w:p w14:paraId="21794C02" w14:textId="58A7E5D1" w:rsidR="001D7929" w:rsidRPr="00214013" w:rsidRDefault="002E3A72" w:rsidP="002E3A72">
      <w:pPr>
        <w:pStyle w:val="a3"/>
        <w:rPr>
          <w:rFonts w:ascii="Verdana" w:hAnsi="Verdana"/>
          <w:b/>
          <w:sz w:val="20"/>
        </w:rPr>
      </w:pPr>
      <w:r w:rsidRPr="002E3A72">
        <w:rPr>
          <w:rFonts w:ascii="Verdana" w:hAnsi="Verdana"/>
          <w:b/>
          <w:sz w:val="20"/>
        </w:rPr>
        <w:t>(Банк «ТРАСТ» (ПАО)– Продавец)</w:t>
      </w: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5FBF24" w14:textId="44672A40" w:rsidR="00B83979" w:rsidRPr="00214013" w:rsidRDefault="002E3A72" w:rsidP="002E3A7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E3A7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именуемое в дальнейшем </w:t>
      </w:r>
      <w:r w:rsidRPr="002E3A72">
        <w:rPr>
          <w:rFonts w:ascii="Verdana" w:eastAsia="Times New Roman" w:hAnsi="Verdana" w:cs="Times New Roman"/>
          <w:b/>
          <w:sz w:val="20"/>
          <w:szCs w:val="20"/>
          <w:lang w:eastAsia="ru-RU"/>
        </w:rPr>
        <w:t>«Продавец</w:t>
      </w:r>
      <w:r w:rsidRPr="002E3A72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A4C181A" w14:textId="2C107E70" w:rsidR="0028544D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E3A72" w:rsidRPr="002E3A7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именуемый в дальнейшем </w:t>
      </w:r>
      <w:r w:rsidR="002E3A72" w:rsidRPr="002E3A72">
        <w:rPr>
          <w:rFonts w:ascii="Verdana" w:eastAsia="Times New Roman" w:hAnsi="Verdana" w:cs="Times New Roman"/>
          <w:b/>
          <w:sz w:val="20"/>
          <w:szCs w:val="20"/>
          <w:lang w:eastAsia="ru-RU"/>
        </w:rPr>
        <w:t>«Покупатель»</w:t>
      </w:r>
      <w:r w:rsidR="002E3A72" w:rsidRPr="002E3A72">
        <w:rPr>
          <w:rFonts w:ascii="Verdana" w:eastAsia="Times New Roman" w:hAnsi="Verdana" w:cs="Times New Roman"/>
          <w:sz w:val="20"/>
          <w:szCs w:val="20"/>
          <w:lang w:eastAsia="ru-RU"/>
        </w:rPr>
        <w:t>, с другой стороны, совместно именуемые «Стороны», а каждый в отдельности «Сторона», на основании Протокола №__________от_____________ заключили настоящий договор о нижеследующем (далее – Договор).</w:t>
      </w:r>
    </w:p>
    <w:p w14:paraId="628EE0D9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4CA10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35D88A80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F461D4D" w14:textId="43D6E390" w:rsidR="00D911F0" w:rsidRPr="002E3A72" w:rsidRDefault="002E3A72" w:rsidP="002E3A72">
      <w:pPr>
        <w:pStyle w:val="ConsNormal"/>
        <w:widowControl/>
        <w:numPr>
          <w:ilvl w:val="1"/>
          <w:numId w:val="2"/>
        </w:numPr>
        <w:tabs>
          <w:tab w:val="left" w:pos="1080"/>
        </w:tabs>
        <w:ind w:left="0" w:right="0" w:firstLine="709"/>
        <w:jc w:val="both"/>
        <w:rPr>
          <w:rFonts w:ascii="Verdana" w:hAnsi="Verdana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BD7FC5"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="00BD7FC5"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>
        <w:rPr>
          <w:rFonts w:ascii="Verdana" w:hAnsi="Verdana" w:cs="Times New Roman"/>
        </w:rPr>
        <w:t>обязуется принять и оплатить:</w:t>
      </w:r>
    </w:p>
    <w:p w14:paraId="12EB5E33" w14:textId="77777777" w:rsidR="002E3A72" w:rsidRPr="002E3A72" w:rsidRDefault="002E3A72" w:rsidP="002E3A72">
      <w:pPr>
        <w:pStyle w:val="a5"/>
        <w:adjustRightInd w:val="0"/>
        <w:ind w:left="0" w:firstLine="720"/>
        <w:jc w:val="both"/>
        <w:rPr>
          <w:rFonts w:ascii="Verdana" w:hAnsi="Verdana"/>
          <w:color w:val="000000" w:themeColor="text1"/>
        </w:rPr>
      </w:pPr>
      <w:r w:rsidRPr="002E3A72">
        <w:rPr>
          <w:rFonts w:ascii="Verdana" w:hAnsi="Verdana"/>
          <w:color w:val="000000" w:themeColor="text1"/>
        </w:rPr>
        <w:t xml:space="preserve">- Нежилое здание, назначение: Нежилое здание литера В, кадастровый номер: 63:08:0105056:392, этажность: 1, общей площадью: 218,7 кв. м, адрес (местонахождение): Самарская область, г. Сызрань, ул. Саратовское шоссе, д. 5 </w:t>
      </w:r>
      <w:r w:rsidRPr="002E3A72">
        <w:rPr>
          <w:rFonts w:ascii="Verdana" w:hAnsi="Verdana"/>
          <w:b/>
          <w:color w:val="000000" w:themeColor="text1"/>
        </w:rPr>
        <w:t>(далее – Здание 1)</w:t>
      </w:r>
      <w:r w:rsidRPr="002E3A72">
        <w:rPr>
          <w:rFonts w:ascii="Verdana" w:hAnsi="Verdana"/>
          <w:color w:val="000000" w:themeColor="text1"/>
        </w:rPr>
        <w:t>;</w:t>
      </w:r>
    </w:p>
    <w:p w14:paraId="6A898A97" w14:textId="77777777" w:rsidR="002E3A72" w:rsidRPr="00984BC7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</w:t>
      </w:r>
      <w:r w:rsidRPr="00B05914">
        <w:rPr>
          <w:rFonts w:ascii="Verdana" w:hAnsi="Verdana"/>
          <w:color w:val="000000" w:themeColor="text1"/>
        </w:rPr>
        <w:t>Нежилое</w:t>
      </w:r>
      <w:r w:rsidRPr="00984BC7">
        <w:rPr>
          <w:rFonts w:ascii="Verdana" w:hAnsi="Verdana"/>
          <w:color w:val="000000" w:themeColor="text1"/>
        </w:rPr>
        <w:t xml:space="preserve"> здание, назначение: отдельно</w:t>
      </w:r>
      <w:r>
        <w:rPr>
          <w:rFonts w:ascii="Verdana" w:hAnsi="Verdana"/>
          <w:color w:val="000000" w:themeColor="text1"/>
        </w:rPr>
        <w:t xml:space="preserve"> </w:t>
      </w:r>
      <w:r w:rsidRPr="00984BC7">
        <w:rPr>
          <w:rFonts w:ascii="Verdana" w:hAnsi="Verdana"/>
          <w:color w:val="000000" w:themeColor="text1"/>
        </w:rPr>
        <w:t xml:space="preserve">стоящее нежилое здание с нежилыми пристроями, кадастровый номер: 63:08:0105056:438, этажность: 2, общей площадью: 9265,4 кв. м, адрес (местонахождение): Самарская область, г. Сызрань, ул. Саратовское шоссе, д.5 </w:t>
      </w:r>
      <w:r w:rsidRPr="00B05914">
        <w:rPr>
          <w:rFonts w:ascii="Verdana" w:hAnsi="Verdana"/>
          <w:b/>
          <w:color w:val="000000" w:themeColor="text1"/>
        </w:rPr>
        <w:t>(далее – Здание 2);</w:t>
      </w:r>
    </w:p>
    <w:p w14:paraId="3996A84F" w14:textId="77777777" w:rsidR="002E3A72" w:rsidRPr="00984BC7" w:rsidRDefault="002E3A72" w:rsidP="002E3A72">
      <w:pPr>
        <w:pStyle w:val="a5"/>
        <w:adjustRightInd w:val="0"/>
        <w:ind w:left="0" w:firstLine="72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нежилое здание литера З, кадастровый номер: 63:08:0105056:429, этажность: 1, общей площадью: 68,8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3)</w:t>
      </w:r>
      <w:r w:rsidRPr="00984BC7">
        <w:rPr>
          <w:rFonts w:ascii="Verdana" w:hAnsi="Verdana"/>
          <w:color w:val="000000" w:themeColor="text1"/>
        </w:rPr>
        <w:t>;</w:t>
      </w:r>
    </w:p>
    <w:p w14:paraId="63C3B64A" w14:textId="77777777" w:rsidR="002E3A72" w:rsidRPr="00984BC7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нежилое здание литера Г, кадастровый номер: 63:08:0105056:393, этажность: 1, общей площадью: 24,2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4)</w:t>
      </w:r>
      <w:r w:rsidRPr="00984BC7">
        <w:rPr>
          <w:rFonts w:ascii="Verdana" w:hAnsi="Verdana"/>
          <w:color w:val="000000" w:themeColor="text1"/>
        </w:rPr>
        <w:t>;</w:t>
      </w:r>
    </w:p>
    <w:p w14:paraId="66351BAF" w14:textId="77777777" w:rsidR="002E3A72" w:rsidRPr="00984BC7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lastRenderedPageBreak/>
        <w:t xml:space="preserve">- Нежилое здание, назначение: нежилое здание с пристроями литера АА1А2А3, кадастровый номер: 63:08:0105056:541, этажность: 1, общей площадью: 170,6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5)</w:t>
      </w:r>
      <w:r w:rsidRPr="00984BC7">
        <w:rPr>
          <w:rFonts w:ascii="Verdana" w:hAnsi="Verdana"/>
          <w:color w:val="000000" w:themeColor="text1"/>
        </w:rPr>
        <w:t>;</w:t>
      </w:r>
    </w:p>
    <w:p w14:paraId="1E73EA82" w14:textId="77777777" w:rsidR="002E3A72" w:rsidRPr="00984BC7" w:rsidRDefault="002E3A72" w:rsidP="002E3A72">
      <w:pPr>
        <w:pStyle w:val="a5"/>
        <w:adjustRightInd w:val="0"/>
        <w:ind w:left="0" w:firstLine="72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отдельностоящее нежилое здание литера Ж, кадастровый номер: 63:08:0105056:538, этажность: 1, общей площадью: 98,5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6)</w:t>
      </w:r>
      <w:r w:rsidRPr="00984BC7">
        <w:rPr>
          <w:rFonts w:ascii="Verdana" w:hAnsi="Verdana"/>
          <w:color w:val="000000" w:themeColor="text1"/>
        </w:rPr>
        <w:t>;</w:t>
      </w:r>
    </w:p>
    <w:p w14:paraId="5FF84036" w14:textId="77777777" w:rsidR="002E3A72" w:rsidRPr="002E3A72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2E3A72">
        <w:rPr>
          <w:rFonts w:ascii="Verdana" w:hAnsi="Verdana"/>
          <w:color w:val="000000" w:themeColor="text1"/>
        </w:rPr>
        <w:t xml:space="preserve">- Производственное (промышленное) сооружение, назначение: железнодорожный подъездной путь протяженностью 340 м, состоящий из рельсов марки Р-65, Р-75, деревянных шпал в кол-ве 235 шт., ж/бетонных шпал в кол-ве 311шт. Литера П, кадастровый номер: 63:08:0105056:440, адрес (местонахождение): Самарская область, г. Сызрань, ул. Саратовское шоссе, 5 </w:t>
      </w:r>
      <w:r w:rsidRPr="002E3A72">
        <w:rPr>
          <w:rFonts w:ascii="Verdana" w:hAnsi="Verdana"/>
          <w:b/>
          <w:color w:val="000000" w:themeColor="text1"/>
        </w:rPr>
        <w:t>(далее – Сооружение)</w:t>
      </w:r>
      <w:r w:rsidRPr="002E3A72">
        <w:rPr>
          <w:rFonts w:ascii="Verdana" w:hAnsi="Verdana"/>
          <w:color w:val="000000" w:themeColor="text1"/>
        </w:rPr>
        <w:t>;</w:t>
      </w:r>
    </w:p>
    <w:p w14:paraId="70E34D91" w14:textId="7A1E5FCA" w:rsidR="002E3A72" w:rsidRPr="00984BC7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>- Земельный участок, кадастровый номер: 63:08:0105061:11, категория земель: Земли населенных пунктов, вид разрешенного использования: Для производственной базы, общей площадью 33500 +/- 22 кв. м, адрес (местонахождение): установлено относительно ориентира, расположенного в границах участка.</w:t>
      </w:r>
      <w:r>
        <w:rPr>
          <w:rFonts w:ascii="Verdana" w:hAnsi="Verdana"/>
          <w:color w:val="000000" w:themeColor="text1"/>
        </w:rPr>
        <w:t xml:space="preserve"> </w:t>
      </w:r>
      <w:r w:rsidRPr="00984BC7">
        <w:rPr>
          <w:rFonts w:ascii="Verdana" w:hAnsi="Verdana"/>
          <w:color w:val="000000" w:themeColor="text1"/>
        </w:rPr>
        <w:t xml:space="preserve">Почтовый адрес ориентира: Самарская область, г. Сызрань, Саратовское шоссе, дом 5 </w:t>
      </w:r>
      <w:r w:rsidRPr="0032635A">
        <w:rPr>
          <w:rFonts w:ascii="Verdana" w:hAnsi="Verdana"/>
          <w:b/>
          <w:color w:val="000000" w:themeColor="text1"/>
        </w:rPr>
        <w:t>(далее – Участок)</w:t>
      </w:r>
      <w:r w:rsidRPr="00984BC7">
        <w:rPr>
          <w:rFonts w:ascii="Verdana" w:hAnsi="Verdana"/>
          <w:color w:val="000000" w:themeColor="text1"/>
        </w:rPr>
        <w:t>;</w:t>
      </w:r>
    </w:p>
    <w:p w14:paraId="5B23A916" w14:textId="77777777" w:rsidR="002E3A72" w:rsidRPr="00984BC7" w:rsidRDefault="002E3A72" w:rsidP="002E3A7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0000" w:themeColor="text1"/>
        </w:rPr>
      </w:pPr>
      <w:r w:rsidRPr="00984BC7">
        <w:rPr>
          <w:rFonts w:ascii="Verdana" w:hAnsi="Verdana" w:cs="Times New Roman"/>
          <w:color w:val="000000" w:themeColor="text1"/>
        </w:rPr>
        <w:t xml:space="preserve">(далее именуемое – </w:t>
      </w:r>
      <w:r w:rsidRPr="00B05914">
        <w:rPr>
          <w:rFonts w:ascii="Verdana" w:hAnsi="Verdana" w:cs="Times New Roman"/>
          <w:b/>
          <w:color w:val="000000" w:themeColor="text1"/>
        </w:rPr>
        <w:t>«недвижимое имущество»).</w:t>
      </w:r>
    </w:p>
    <w:p w14:paraId="021AA31D" w14:textId="77777777" w:rsidR="002E3A72" w:rsidRPr="002E3A72" w:rsidRDefault="002E3A72" w:rsidP="002E3A72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2E3A72">
        <w:rPr>
          <w:rFonts w:ascii="Verdana" w:hAnsi="Verdana"/>
          <w:color w:val="000000" w:themeColor="text1"/>
        </w:rPr>
        <w:t>Здание 1, 2, 3, 4, 5, 6 и Сооружение расположены на Участке.</w:t>
      </w:r>
    </w:p>
    <w:p w14:paraId="623470A4" w14:textId="6A285ADC" w:rsidR="002E3A72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1.2. Недвижимое имущество: </w:t>
      </w:r>
    </w:p>
    <w:p w14:paraId="7DB96044" w14:textId="201FCFAF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Здание 1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№ 63:08:0105056:392-63/008/2019-11 от 20.03.2019, что подтверждается Выпиской из Единого государственного реестра недвижимости от </w:t>
      </w:r>
      <w:r w:rsidRPr="002E3A7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КУВИ-001/2023-117261909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4BAF1D31" w14:textId="7D2A5239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Здание 2 принадлежит Продавцу на праве собственности, о чем в Едином государственном реестре недвижимости сделана запись о регистрации № 63:08:0105056:438-63/008/2019-3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КУВИ-001/2023-117260819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17FFD0D2" w14:textId="6C2508CF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Здание 3 принадлежит Продавцу на праве собственности, о чем в Едином государственном реестре недвижимости сделана запись о регистрации № № 63:08:0105056:429-63/008/2019-3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КУВИ-001/2023-117262867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4BFAD0F8" w14:textId="076094DD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Здание 4 принадлежит Продавцу на праве собственности, о чем в Едином государственном реестре недвижимости сделана запись о регистрации №63:08:0105056:393-63/008/2019-7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КУВИ-001/2023-117263331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702F9B46" w14:textId="01724B64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Здание 5 принадлежит Продавцу на праве собственности, о чем в Едином государственном реестре недвижимости сделана запись о регистрации № 63:08:0105056:541-63/008/2019-2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КУВИ-001/2023-117263953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6D64BCD2" w14:textId="38FB0E2C" w:rsidR="002E3A72" w:rsidRPr="009858ED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9858ED">
        <w:rPr>
          <w:rFonts w:ascii="Verdana" w:hAnsi="Verdana"/>
        </w:rPr>
        <w:t xml:space="preserve">Здание 6 </w:t>
      </w:r>
      <w:r w:rsidRPr="008C7EFC">
        <w:rPr>
          <w:rFonts w:ascii="Verdana" w:hAnsi="Verdana"/>
        </w:rPr>
        <w:t xml:space="preserve">принадлежит Продавцу на праве собственности, о чем в Едином </w:t>
      </w:r>
      <w:r w:rsidRPr="009858ED">
        <w:rPr>
          <w:rFonts w:ascii="Verdana" w:hAnsi="Verdana"/>
        </w:rPr>
        <w:t xml:space="preserve">государственном реестре недвижимости сделана запись о регистрации № 63:08:0105056:538-63/008/2019-7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hAnsi="Verdana"/>
        </w:rPr>
        <w:t>22.05.2023г. № КУВИ-001/2023-117263953</w:t>
      </w:r>
      <w:r w:rsidRPr="009858ED">
        <w:rPr>
          <w:rFonts w:ascii="Verdana" w:hAnsi="Verdana"/>
        </w:rPr>
        <w:t>;</w:t>
      </w:r>
    </w:p>
    <w:p w14:paraId="4CACAFD0" w14:textId="0685EB34" w:rsidR="002E3A72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- </w:t>
      </w:r>
      <w:r w:rsidRPr="00B05914">
        <w:rPr>
          <w:rFonts w:ascii="Verdana" w:hAnsi="Verdana"/>
          <w:color w:val="000000" w:themeColor="text1"/>
        </w:rPr>
        <w:t>Сооружение</w:t>
      </w:r>
      <w:r>
        <w:rPr>
          <w:rFonts w:ascii="Verdana" w:hAnsi="Verdana"/>
          <w:color w:val="000000" w:themeColor="text1"/>
        </w:rPr>
        <w:t xml:space="preserve"> </w:t>
      </w:r>
      <w:r w:rsidRPr="009858ED">
        <w:rPr>
          <w:rFonts w:ascii="Verdana" w:hAnsi="Verdana"/>
          <w:color w:val="000000" w:themeColor="text1"/>
        </w:rPr>
        <w:t xml:space="preserve">принадлежит Продавцу на праве собственности, о чем в Едином государственном реестре недвижимости сделана запись о регистрации № 63:08:0105056:440-63/008/2019-3 от 20.03.2019, что подтверждается Выпиской из Единого государственного реестра недвижимости от </w:t>
      </w:r>
      <w:r w:rsidR="00B636F7" w:rsidRPr="00B636F7">
        <w:rPr>
          <w:rFonts w:ascii="Verdana" w:hAnsi="Verdana"/>
          <w:color w:val="000000" w:themeColor="text1"/>
        </w:rPr>
        <w:t>22.05.2023г. № КУВИ-001/2023-117261414</w:t>
      </w:r>
      <w:r>
        <w:rPr>
          <w:rFonts w:ascii="Verdana" w:hAnsi="Verdana"/>
          <w:color w:val="000000" w:themeColor="text1"/>
        </w:rPr>
        <w:t>;</w:t>
      </w:r>
    </w:p>
    <w:p w14:paraId="17E18B38" w14:textId="6238A6B8" w:rsidR="002E3A72" w:rsidRPr="005B74AF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lastRenderedPageBreak/>
        <w:t xml:space="preserve">- </w:t>
      </w:r>
      <w:r w:rsidRPr="005B74AF">
        <w:rPr>
          <w:rFonts w:ascii="Verdana" w:hAnsi="Verdana"/>
          <w:color w:val="000000" w:themeColor="text1"/>
        </w:rPr>
        <w:t>Земельный участок принадлежит на праве собственности, о чем в Едином государственном реестре недвижимости сделана запись о регистрации</w:t>
      </w:r>
      <w:r>
        <w:rPr>
          <w:rFonts w:ascii="Verdana" w:hAnsi="Verdana"/>
          <w:color w:val="000000" w:themeColor="text1"/>
        </w:rPr>
        <w:t xml:space="preserve"> № 63:08:0105061:11-63/008/2019-3 от 20.03.2019</w:t>
      </w:r>
      <w:r w:rsidRPr="005B74AF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hAnsi="Verdana"/>
          <w:color w:val="000000" w:themeColor="text1"/>
        </w:rPr>
        <w:t>22.05.2023г. № КУВИ-001/2023-117264316</w:t>
      </w:r>
      <w:r>
        <w:rPr>
          <w:rFonts w:ascii="Verdana" w:hAnsi="Verdana"/>
          <w:color w:val="000000" w:themeColor="text1"/>
        </w:rPr>
        <w:t xml:space="preserve">. </w:t>
      </w:r>
    </w:p>
    <w:p w14:paraId="42A68FDA" w14:textId="0173BC31" w:rsidR="002E3A72" w:rsidRPr="00984BC7" w:rsidRDefault="00AD52B5" w:rsidP="00AD52B5">
      <w:pPr>
        <w:pStyle w:val="ConsNormal"/>
        <w:widowControl/>
        <w:tabs>
          <w:tab w:val="left" w:pos="1080"/>
        </w:tabs>
        <w:ind w:right="0" w:firstLine="709"/>
        <w:jc w:val="both"/>
        <w:rPr>
          <w:rFonts w:ascii="Verdana" w:hAnsi="Verdana" w:cs="Times New Roman"/>
          <w:color w:val="000000" w:themeColor="text1"/>
        </w:rPr>
      </w:pPr>
      <w:r w:rsidRPr="00AD52B5">
        <w:rPr>
          <w:rFonts w:ascii="Verdana" w:hAnsi="Verdana" w:cs="Times New Roman"/>
          <w:color w:val="000000" w:themeColor="text1"/>
        </w:rPr>
        <w:t>1.2.1.</w:t>
      </w:r>
      <w:r>
        <w:rPr>
          <w:rFonts w:ascii="Verdana" w:hAnsi="Verdana" w:cs="Times New Roman"/>
          <w:color w:val="000000" w:themeColor="text1"/>
        </w:rPr>
        <w:t xml:space="preserve"> </w:t>
      </w:r>
      <w:r w:rsidRPr="00AD52B5">
        <w:rPr>
          <w:rFonts w:ascii="Verdana" w:hAnsi="Verdana" w:cs="Times New Roman"/>
          <w:color w:val="000000" w:themeColor="text1"/>
        </w:rPr>
        <w:t>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5125F930" w14:textId="77777777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923D402" w14:textId="2668EBDC" w:rsidR="00761DF7" w:rsidRDefault="00AD52B5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14013">
        <w:rPr>
          <w:rFonts w:ascii="Verdana" w:hAnsi="Verdana"/>
        </w:rPr>
        <w:t>, не заложено, в споре и под арестом не состоит, права на недвижимое имущество не являются предметом судебного спора.</w:t>
      </w:r>
    </w:p>
    <w:p w14:paraId="70D3FC42" w14:textId="506CBED5" w:rsidR="00E0243A" w:rsidRDefault="00AD52B5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Покупатель уведомлен о том, что согласно данным из ЕГРН</w:t>
      </w:r>
      <w:r w:rsidR="00043433">
        <w:rPr>
          <w:rFonts w:ascii="Verdana" w:hAnsi="Verdana" w:cs="Times New Roman"/>
        </w:rPr>
        <w:t xml:space="preserve"> в пределах </w:t>
      </w:r>
      <w:r w:rsidR="009B0F74">
        <w:rPr>
          <w:rFonts w:ascii="Verdana" w:hAnsi="Verdana" w:cs="Times New Roman"/>
        </w:rPr>
        <w:t xml:space="preserve">Участка </w:t>
      </w:r>
      <w:r w:rsidR="00043433">
        <w:rPr>
          <w:rFonts w:ascii="Verdana" w:hAnsi="Verdana" w:cs="Times New Roman"/>
        </w:rPr>
        <w:t xml:space="preserve">с кадастровым номером </w:t>
      </w:r>
      <w:r w:rsidR="00043433" w:rsidRPr="00043433">
        <w:rPr>
          <w:rFonts w:ascii="Verdana" w:hAnsi="Verdana" w:cs="Times New Roman"/>
        </w:rPr>
        <w:t>63:08:0105061:11</w:t>
      </w:r>
      <w:r w:rsidR="00043433">
        <w:t xml:space="preserve"> </w:t>
      </w:r>
      <w:r>
        <w:rPr>
          <w:rFonts w:ascii="Verdana" w:hAnsi="Verdana" w:cs="Times New Roman"/>
        </w:rPr>
        <w:t xml:space="preserve">располагаются иные объекты недвижимости </w:t>
      </w:r>
      <w:r w:rsidR="00043433">
        <w:rPr>
          <w:rFonts w:ascii="Verdana" w:hAnsi="Verdana" w:cs="Times New Roman"/>
        </w:rPr>
        <w:t>с кадастровыми номерами:</w:t>
      </w:r>
      <w:r w:rsidR="00B636F7">
        <w:rPr>
          <w:rFonts w:ascii="Verdana" w:hAnsi="Verdana" w:cs="Times New Roman"/>
        </w:rPr>
        <w:t xml:space="preserve"> </w:t>
      </w:r>
      <w:r w:rsidRPr="00AD52B5">
        <w:rPr>
          <w:rFonts w:ascii="Verdana" w:hAnsi="Verdana" w:cs="Times New Roman"/>
        </w:rPr>
        <w:t>63:08:0105061:65, 63:08:0105061:66, 63:08:0105061:67, 63:08:0105061:68</w:t>
      </w:r>
      <w:r w:rsidR="00043433">
        <w:rPr>
          <w:rFonts w:ascii="Verdana" w:hAnsi="Verdana" w:cs="Times New Roman"/>
        </w:rPr>
        <w:t>, не принадлежащим Продавцу на праве собственности.</w:t>
      </w:r>
    </w:p>
    <w:p w14:paraId="4808A7B4" w14:textId="1CC05D14" w:rsidR="00434BCC" w:rsidRDefault="00434BCC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434BCC">
        <w:rPr>
          <w:rFonts w:ascii="Verdana" w:hAnsi="Verdana" w:cs="Times New Roman"/>
        </w:rPr>
        <w:t xml:space="preserve">На дату подписания Договора в отношении </w:t>
      </w:r>
      <w:r w:rsidR="009B0F74">
        <w:rPr>
          <w:rFonts w:ascii="Verdana" w:hAnsi="Verdana" w:cs="Times New Roman"/>
        </w:rPr>
        <w:t>Участка</w:t>
      </w:r>
      <w:r w:rsidRPr="00434BCC">
        <w:rPr>
          <w:rFonts w:ascii="Verdana" w:hAnsi="Verdana" w:cs="Times New Roman"/>
        </w:rPr>
        <w:t xml:space="preserve"> имеются следующие обременения/ограничения:</w:t>
      </w:r>
    </w:p>
    <w:p w14:paraId="53DAFD4F" w14:textId="552CCC8A" w:rsidR="001A7484" w:rsidRPr="001A7484" w:rsidRDefault="001A7484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9B0F74">
        <w:rPr>
          <w:rFonts w:ascii="Verdana" w:hAnsi="Verdana" w:cs="Times New Roman"/>
        </w:rPr>
        <w:t>на часть земельного участка п</w:t>
      </w:r>
      <w:r>
        <w:rPr>
          <w:rFonts w:ascii="Verdana" w:hAnsi="Verdana" w:cs="Times New Roman"/>
        </w:rPr>
        <w:t>лощадь</w:t>
      </w:r>
      <w:r w:rsidR="009B0F74">
        <w:rPr>
          <w:rFonts w:ascii="Verdana" w:hAnsi="Verdana" w:cs="Times New Roman"/>
        </w:rPr>
        <w:t>ю</w:t>
      </w:r>
      <w:r>
        <w:rPr>
          <w:rFonts w:ascii="Verdana" w:hAnsi="Verdana" w:cs="Times New Roman"/>
        </w:rPr>
        <w:t xml:space="preserve"> 84 кв.м.</w:t>
      </w:r>
      <w:r w:rsidR="009B0F74">
        <w:rPr>
          <w:rFonts w:ascii="Verdana" w:hAnsi="Verdana" w:cs="Times New Roman"/>
        </w:rPr>
        <w:t>,</w:t>
      </w:r>
      <w:r>
        <w:rPr>
          <w:rFonts w:ascii="Verdana" w:hAnsi="Verdana" w:cs="Times New Roman"/>
        </w:rPr>
        <w:t xml:space="preserve"> </w:t>
      </w:r>
      <w:r w:rsidR="009B0F74">
        <w:rPr>
          <w:rFonts w:ascii="Verdana" w:hAnsi="Verdana" w:cs="Times New Roman"/>
        </w:rPr>
        <w:t xml:space="preserve">учетный номер части: </w:t>
      </w:r>
      <w:r w:rsidR="009B0F74" w:rsidRPr="009B0F74">
        <w:rPr>
          <w:rFonts w:ascii="Verdana" w:hAnsi="Verdana" w:cs="Times New Roman"/>
        </w:rPr>
        <w:t>63:08:0105061:11/1</w:t>
      </w:r>
      <w:r w:rsidR="009B0F74">
        <w:rPr>
          <w:rFonts w:ascii="Verdana" w:hAnsi="Verdana" w:cs="Times New Roman"/>
        </w:rPr>
        <w:t>, 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7F30A565" w14:textId="3943DB0D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9B0F74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117 кв.м.</w:t>
      </w:r>
      <w:r w:rsidR="009B0F74">
        <w:rPr>
          <w:rFonts w:ascii="Verdana" w:hAnsi="Verdana" w:cs="Times New Roman"/>
        </w:rPr>
        <w:t xml:space="preserve">, учетный номер части: </w:t>
      </w:r>
      <w:r w:rsidR="009B0F74">
        <w:t>63:08:0105061:11/2</w:t>
      </w:r>
      <w:r w:rsidR="009B0F74">
        <w:t xml:space="preserve">, </w:t>
      </w:r>
      <w:r w:rsidR="009B0F74">
        <w:rPr>
          <w:rFonts w:ascii="Verdana" w:hAnsi="Verdana" w:cs="Times New Roman"/>
        </w:rPr>
        <w:t>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6E3608E0" w14:textId="5442B2A2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9B0F74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409 кв.м.</w:t>
      </w:r>
      <w:r w:rsidR="009B0F74">
        <w:rPr>
          <w:rFonts w:ascii="Verdana" w:hAnsi="Verdana" w:cs="Times New Roman"/>
        </w:rPr>
        <w:t xml:space="preserve">, </w:t>
      </w:r>
      <w:r w:rsidR="009B0F74">
        <w:rPr>
          <w:rFonts w:ascii="Verdana" w:hAnsi="Verdana" w:cs="Times New Roman"/>
        </w:rPr>
        <w:t>учетный номер части</w:t>
      </w:r>
      <w:r w:rsidR="009B0F74">
        <w:rPr>
          <w:rFonts w:ascii="Verdana" w:hAnsi="Verdana" w:cs="Times New Roman"/>
        </w:rPr>
        <w:t>:</w:t>
      </w:r>
      <w:r>
        <w:rPr>
          <w:rFonts w:ascii="Verdana" w:hAnsi="Verdana" w:cs="Times New Roman"/>
        </w:rPr>
        <w:t xml:space="preserve"> </w:t>
      </w:r>
      <w:r w:rsidR="009B0F74">
        <w:rPr>
          <w:rFonts w:ascii="Verdana" w:hAnsi="Verdana" w:cs="Times New Roman"/>
        </w:rPr>
        <w:t>63:08:0105061:11/3, 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5FDDB3EB" w14:textId="21582950" w:rsidR="00434BCC" w:rsidRPr="001A7484" w:rsidRDefault="001A7484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="009B0F74">
        <w:rPr>
          <w:rFonts w:ascii="Verdana" w:hAnsi="Verdana" w:cs="Times New Roman"/>
        </w:rPr>
        <w:t xml:space="preserve">на часть </w:t>
      </w:r>
      <w:r w:rsidR="009B0F74">
        <w:rPr>
          <w:rFonts w:ascii="Verdana" w:hAnsi="Verdana" w:cs="Times New Roman"/>
        </w:rPr>
        <w:t xml:space="preserve">земельного участка площадью </w:t>
      </w:r>
      <w:r>
        <w:rPr>
          <w:rFonts w:ascii="Verdana" w:hAnsi="Verdana" w:cs="Times New Roman"/>
        </w:rPr>
        <w:t>141</w:t>
      </w:r>
      <w:r w:rsidR="00434BCC" w:rsidRPr="00434BCC">
        <w:rPr>
          <w:rFonts w:ascii="Verdana" w:hAnsi="Verdana" w:cs="Times New Roman"/>
        </w:rPr>
        <w:t xml:space="preserve"> кв.м.</w:t>
      </w:r>
      <w:r w:rsidR="009B0F74">
        <w:rPr>
          <w:rFonts w:ascii="Verdana" w:hAnsi="Verdana" w:cs="Times New Roman"/>
        </w:rPr>
        <w:t>,</w:t>
      </w:r>
      <w:r w:rsidR="009B0F74" w:rsidRPr="009B0F74">
        <w:t xml:space="preserve"> </w:t>
      </w:r>
      <w:r w:rsidR="009B0F74">
        <w:rPr>
          <w:rFonts w:ascii="Verdana" w:hAnsi="Verdana" w:cs="Times New Roman"/>
        </w:rPr>
        <w:t xml:space="preserve">учетный номер части: </w:t>
      </w:r>
      <w:r w:rsidR="009B0F74">
        <w:rPr>
          <w:rFonts w:ascii="Verdana" w:hAnsi="Verdana" w:cs="Times New Roman"/>
        </w:rPr>
        <w:t>63:08:0105061:11/4, с</w:t>
      </w:r>
      <w:r w:rsidR="009B0F74" w:rsidRPr="009B0F7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</w:t>
      </w:r>
      <w:r w:rsidR="0076008F">
        <w:rPr>
          <w:rFonts w:ascii="Verdana" w:hAnsi="Verdana" w:cs="Times New Roman"/>
        </w:rPr>
        <w:t>:</w:t>
      </w:r>
      <w:r w:rsidR="00434BCC" w:rsidRPr="00434BCC">
        <w:rPr>
          <w:rFonts w:ascii="Verdana" w:hAnsi="Verdana" w:cs="Times New Roman"/>
        </w:rPr>
        <w:t xml:space="preserve"> </w:t>
      </w:r>
      <w:r w:rsidRPr="001A7484">
        <w:rPr>
          <w:rFonts w:ascii="Verdana" w:hAnsi="Verdana" w:cs="Times New Roman"/>
        </w:rPr>
        <w:t>вид ограничения (обременения):</w:t>
      </w:r>
      <w:r>
        <w:rPr>
          <w:rFonts w:ascii="Verdana" w:hAnsi="Verdana" w:cs="Times New Roman"/>
        </w:rPr>
        <w:t xml:space="preserve"> </w:t>
      </w:r>
      <w:r w:rsidRPr="001A7484">
        <w:rPr>
          <w:rFonts w:ascii="Verdana" w:hAnsi="Verdana" w:cs="Times New Roman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Занята участком охранной зоны линии ЛЭП 0,4 кВ;</w:t>
      </w:r>
    </w:p>
    <w:p w14:paraId="79D2C043" w14:textId="4B379A19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 xml:space="preserve">-  </w:t>
      </w:r>
      <w:r w:rsidR="0076008F">
        <w:rPr>
          <w:rFonts w:ascii="Verdana" w:hAnsi="Verdana" w:cs="Times New Roman"/>
        </w:rPr>
        <w:t>на часть земельного участка площад</w:t>
      </w:r>
      <w:bookmarkStart w:id="0" w:name="_GoBack"/>
      <w:bookmarkEnd w:id="0"/>
      <w:r w:rsidR="0076008F">
        <w:rPr>
          <w:rFonts w:ascii="Verdana" w:hAnsi="Verdana" w:cs="Times New Roman"/>
        </w:rPr>
        <w:t>ью</w:t>
      </w:r>
      <w:r>
        <w:rPr>
          <w:rFonts w:ascii="Verdana" w:hAnsi="Verdana" w:cs="Times New Roman"/>
        </w:rPr>
        <w:t xml:space="preserve"> 248 кв.м.</w:t>
      </w:r>
      <w:r w:rsidR="0076008F">
        <w:rPr>
          <w:rFonts w:ascii="Verdana" w:hAnsi="Verdana" w:cs="Times New Roman"/>
        </w:rPr>
        <w:t>,</w:t>
      </w:r>
      <w:r w:rsidR="0076008F" w:rsidRPr="0076008F">
        <w:rPr>
          <w:rFonts w:ascii="Verdana" w:hAnsi="Verdana" w:cs="Times New Roman"/>
        </w:rPr>
        <w:t xml:space="preserve"> </w:t>
      </w:r>
      <w:r w:rsidR="0076008F">
        <w:rPr>
          <w:rFonts w:ascii="Verdana" w:hAnsi="Verdana" w:cs="Times New Roman"/>
        </w:rPr>
        <w:t xml:space="preserve">учетный номер </w:t>
      </w:r>
      <w:r w:rsidR="0076008F">
        <w:rPr>
          <w:rFonts w:ascii="Verdana" w:hAnsi="Verdana" w:cs="Times New Roman"/>
        </w:rPr>
        <w:t>части: 63</w:t>
      </w:r>
      <w:r w:rsidR="0076008F" w:rsidRPr="0076008F">
        <w:rPr>
          <w:rFonts w:ascii="Verdana" w:hAnsi="Verdana" w:cs="Times New Roman"/>
        </w:rPr>
        <w:t>:08:0105061:11/5</w:t>
      </w:r>
      <w:r w:rsidR="0076008F">
        <w:rPr>
          <w:rFonts w:ascii="Verdana" w:hAnsi="Verdana" w:cs="Times New Roman"/>
        </w:rPr>
        <w:t>, 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782A4DFD" w14:textId="61D3666B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76008F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254 кв.м.</w:t>
      </w:r>
      <w:r w:rsidR="0076008F">
        <w:rPr>
          <w:rFonts w:ascii="Verdana" w:hAnsi="Verdana" w:cs="Times New Roman"/>
        </w:rPr>
        <w:t xml:space="preserve">, </w:t>
      </w:r>
      <w:r w:rsidR="0076008F">
        <w:rPr>
          <w:rFonts w:ascii="Verdana" w:hAnsi="Verdana" w:cs="Times New Roman"/>
        </w:rPr>
        <w:t xml:space="preserve">учетный номер </w:t>
      </w:r>
      <w:r w:rsidR="0076008F">
        <w:rPr>
          <w:rFonts w:ascii="Verdana" w:hAnsi="Verdana" w:cs="Times New Roman"/>
        </w:rPr>
        <w:t>части: 63</w:t>
      </w:r>
      <w:r w:rsidR="0076008F">
        <w:t>:08:0105061:11/6</w:t>
      </w:r>
      <w:r w:rsidR="0076008F">
        <w:t xml:space="preserve">, </w:t>
      </w:r>
      <w:r w:rsidR="0076008F">
        <w:rPr>
          <w:rFonts w:ascii="Verdana" w:hAnsi="Verdana" w:cs="Times New Roman"/>
        </w:rPr>
        <w:t>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79222E79" w14:textId="28ECD2D0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76008F">
        <w:rPr>
          <w:rFonts w:ascii="Verdana" w:hAnsi="Verdana" w:cs="Times New Roman"/>
        </w:rPr>
        <w:t xml:space="preserve">на часть земельного участка площадью </w:t>
      </w:r>
      <w:r>
        <w:rPr>
          <w:rFonts w:ascii="Verdana" w:hAnsi="Verdana" w:cs="Times New Roman"/>
        </w:rPr>
        <w:t>6022 кв.м</w:t>
      </w:r>
      <w:r w:rsidR="0076008F">
        <w:rPr>
          <w:rFonts w:ascii="Verdana" w:hAnsi="Verdana" w:cs="Times New Roman"/>
        </w:rPr>
        <w:t>., учетный номер части</w:t>
      </w:r>
      <w:r w:rsidR="0076008F">
        <w:rPr>
          <w:rFonts w:ascii="Verdana" w:hAnsi="Verdana" w:cs="Times New Roman"/>
        </w:rPr>
        <w:t xml:space="preserve">: </w:t>
      </w:r>
      <w:r w:rsidR="0076008F" w:rsidRPr="0076008F">
        <w:rPr>
          <w:rFonts w:ascii="Verdana" w:hAnsi="Verdana" w:cs="Times New Roman"/>
        </w:rPr>
        <w:t>63:08:0105061:11/7</w:t>
      </w:r>
      <w:r w:rsidR="0076008F">
        <w:rPr>
          <w:rFonts w:ascii="Verdana" w:hAnsi="Verdana" w:cs="Times New Roman"/>
        </w:rPr>
        <w:t>, 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17A2F687" w14:textId="5D0E2050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76008F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42 кв.м</w:t>
      </w:r>
      <w:r w:rsidR="0076008F">
        <w:rPr>
          <w:rFonts w:ascii="Verdana" w:hAnsi="Verdana" w:cs="Times New Roman"/>
        </w:rPr>
        <w:t>., учетный номер части</w:t>
      </w:r>
      <w:r w:rsidR="0076008F">
        <w:rPr>
          <w:rFonts w:ascii="Verdana" w:hAnsi="Verdana" w:cs="Times New Roman"/>
        </w:rPr>
        <w:t>:</w:t>
      </w:r>
      <w:r w:rsidR="0076008F" w:rsidRPr="0076008F">
        <w:t xml:space="preserve"> </w:t>
      </w:r>
      <w:r w:rsidR="0076008F">
        <w:t>63:08:0105061:11/8</w:t>
      </w:r>
      <w:r w:rsidR="0076008F">
        <w:t xml:space="preserve">, </w:t>
      </w:r>
      <w:r w:rsidR="0076008F">
        <w:rPr>
          <w:rFonts w:ascii="Verdana" w:hAnsi="Verdana" w:cs="Times New Roman"/>
        </w:rPr>
        <w:t>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отсутствуют.</w:t>
      </w:r>
    </w:p>
    <w:p w14:paraId="0F816458" w14:textId="26552663" w:rsidR="00930C3B" w:rsidRPr="00214013" w:rsidRDefault="00043433" w:rsidP="00043433">
      <w:pPr>
        <w:ind w:firstLine="709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>1.</w:t>
      </w:r>
      <w:r w:rsidRPr="0004343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930C3B" w:rsidRPr="0004343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Pr="00043433">
        <w:rPr>
          <w:rFonts w:ascii="Verdana" w:eastAsia="Times New Roman" w:hAnsi="Verdana" w:cs="Times New Roman"/>
          <w:sz w:val="20"/>
          <w:szCs w:val="20"/>
          <w:lang w:eastAsia="ru-RU"/>
        </w:rPr>
        <w:t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не обнаружил каких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-либо</w:t>
      </w:r>
      <w:r w:rsidRPr="0004343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имеет. Покупатель осознает, что фактическое состояние недвижимого имущества может потребовать проведение мероприятий, связанных с актуализацией сведений в ЕГРН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1798B60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EE4C54D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FE60DD" w14:textId="77777777" w:rsidR="00043433" w:rsidRPr="00043433" w:rsidRDefault="00CF1A05" w:rsidP="0004343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043433" w:rsidRPr="00043433">
        <w:rPr>
          <w:rFonts w:ascii="Verdana" w:hAnsi="Verdana"/>
        </w:rPr>
        <w:t>Цена недвижимого имущества составляет ______________________ (__________________) рублей ___ копеек (в том числе НДС, исчисленный в соответствии с действующим законодательством), а именно:</w:t>
      </w:r>
    </w:p>
    <w:p w14:paraId="39D6B1E9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1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7C741740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2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0CACF53A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3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62487907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4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1157DBE9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5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729C2F5E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6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6CD20C0D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Сооружения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59721C99" w14:textId="63D4B06B" w:rsidR="00E2774D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Участка составляет ______________________ (__________________) рублей ___ копеек (НДС не облагается на основании пп.6 п.2 ст.146 Налогового кодекса Российской Федерации);</w:t>
      </w:r>
    </w:p>
    <w:p w14:paraId="73E5F3B2" w14:textId="77777777" w:rsidR="00043433" w:rsidRDefault="00043433" w:rsidP="00A24FDA">
      <w:pPr>
        <w:jc w:val="both"/>
        <w:rPr>
          <w:rFonts w:ascii="Verdana" w:hAnsi="Verdana"/>
          <w:sz w:val="20"/>
          <w:szCs w:val="20"/>
        </w:rPr>
      </w:pPr>
    </w:p>
    <w:p w14:paraId="6860D347" w14:textId="7D34F69E" w:rsidR="00A24FDA" w:rsidRPr="00214013" w:rsidRDefault="00C131F7" w:rsidP="00043433">
      <w:pPr>
        <w:ind w:firstLine="284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5C42BC72" w:rsidR="00E90DA2" w:rsidRPr="00214013" w:rsidRDefault="000E6B2F" w:rsidP="000835F8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3225C802" w:rsidR="000E6B2F" w:rsidRPr="00214013" w:rsidRDefault="000E6B2F" w:rsidP="000835F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6E8E98C1" w14:textId="77777777" w:rsidR="000E6B2F" w:rsidRDefault="000E6B2F" w:rsidP="000835F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753ED11" w14:textId="1A6DC084" w:rsidR="00861F06" w:rsidRPr="00214013" w:rsidRDefault="00861F06" w:rsidP="000835F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61F06">
              <w:rPr>
                <w:rFonts w:ascii="Verdana" w:hAnsi="Verdana" w:cs="Arial"/>
                <w:sz w:val="20"/>
                <w:szCs w:val="20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</w:p>
        </w:tc>
      </w:tr>
    </w:tbl>
    <w:p w14:paraId="22FDCA3F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935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0835F8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10F54093" w:rsidR="00AB5223" w:rsidRPr="00214013" w:rsidRDefault="00DE0E51" w:rsidP="00E8616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</w:t>
            </w:r>
            <w:r w:rsidR="000835F8">
              <w:rPr>
                <w:rFonts w:ascii="Verdana" w:hAnsi="Verdana"/>
                <w:i/>
                <w:color w:val="0070C0"/>
                <w:sz w:val="20"/>
                <w:szCs w:val="20"/>
              </w:rPr>
              <w:t>5 (Пяти)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165B09" w14:paraId="1FEEE343" w14:textId="77777777" w:rsidTr="000835F8">
        <w:trPr>
          <w:trHeight w:val="1459"/>
        </w:trPr>
        <w:tc>
          <w:tcPr>
            <w:tcW w:w="1843" w:type="dxa"/>
            <w:shd w:val="clear" w:color="auto" w:fill="auto"/>
          </w:tcPr>
          <w:p w14:paraId="0B4106E5" w14:textId="61F601A1" w:rsidR="001E5436" w:rsidRPr="00214013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0835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B23344" w14:textId="141134F8" w:rsidR="001E5436" w:rsidRPr="00214013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0835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Банк должен иметь кредитный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рейтинг, подтвержденный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одним из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аккредитованных ЦБ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РФ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рейтинговых агентств: не ниже BBB (RU) от АКРА (АО), ruBBB от АО «Эксперт РА»,BBB.ru от ООО «НКР»,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BBB|ru| от ООО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«НРА».</w:t>
            </w:r>
            <w:r w:rsidR="000835F8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0835F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47659AC2" w14:textId="0A2E7988" w:rsidR="001E5436" w:rsidRPr="00214013" w:rsidRDefault="00B71921" w:rsidP="000835F8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0835F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</w:t>
            </w:r>
            <w:r w:rsidR="000835F8">
              <w:rPr>
                <w:rFonts w:ascii="Verdana" w:hAnsi="Verdana"/>
                <w:i/>
                <w:color w:val="0070C0"/>
                <w:sz w:val="20"/>
                <w:szCs w:val="20"/>
              </w:rPr>
              <w:t>5 (Пяти)</w:t>
            </w:r>
            <w:r w:rsidR="000835F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0835F8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</w:tc>
      </w:tr>
    </w:tbl>
    <w:p w14:paraId="71688710" w14:textId="78069834" w:rsidR="000835F8" w:rsidRPr="003C2F18" w:rsidRDefault="000835F8" w:rsidP="003C2F18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Pr="003C2F18">
        <w:rPr>
          <w:rFonts w:ascii="Verdana" w:hAnsi="Verdana"/>
          <w:i/>
          <w:color w:val="548DD4" w:themeColor="text2" w:themeTint="99"/>
        </w:rPr>
        <w:t>1 200 000 (Один миллион двести</w:t>
      </w:r>
      <w:r w:rsidR="00B636F7">
        <w:rPr>
          <w:rFonts w:ascii="Verdana" w:hAnsi="Verdana"/>
          <w:i/>
          <w:color w:val="548DD4" w:themeColor="text2" w:themeTint="99"/>
        </w:rPr>
        <w:t xml:space="preserve"> тысяч</w:t>
      </w:r>
      <w:r w:rsidRPr="003C2F18">
        <w:rPr>
          <w:rFonts w:ascii="Verdana" w:hAnsi="Verdana"/>
          <w:i/>
          <w:color w:val="548DD4" w:themeColor="text2" w:themeTint="99"/>
        </w:rPr>
        <w:t xml:space="preserve">) рублей </w:t>
      </w:r>
      <w:r w:rsidR="003C2F18" w:rsidRPr="003C2F18">
        <w:rPr>
          <w:rFonts w:ascii="Verdana" w:hAnsi="Verdana"/>
          <w:i/>
          <w:color w:val="548DD4" w:themeColor="text2" w:themeTint="99"/>
        </w:rPr>
        <w:t>00</w:t>
      </w:r>
      <w:r w:rsidRPr="003C2F18">
        <w:rPr>
          <w:rFonts w:ascii="Verdana" w:hAnsi="Verdana"/>
          <w:i/>
          <w:color w:val="548DD4" w:themeColor="text2" w:themeTint="99"/>
        </w:rPr>
        <w:t xml:space="preserve"> копеек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  <w:i/>
          <w:color w:val="0070C0"/>
        </w:rPr>
        <w:t>(в том числе НДС, исчисленный в соответствии с действующим законодательством),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 w:rsidR="003C2F18">
        <w:rPr>
          <w:rFonts w:ascii="Verdana" w:hAnsi="Verdana"/>
        </w:rPr>
        <w:t xml:space="preserve"> </w:t>
      </w:r>
      <w:r w:rsidR="003C2F18" w:rsidRPr="003C2F18">
        <w:rPr>
          <w:rFonts w:ascii="Verdana" w:hAnsi="Verdana"/>
        </w:rPr>
        <w:t xml:space="preserve">в счет Обеспечительного платежа Покупателя в пользу Продавца (ст. 381.1 ГК РФ). </w:t>
      </w:r>
      <w:r w:rsidR="003C2F18" w:rsidRPr="003C2F18">
        <w:rPr>
          <w:rFonts w:ascii="Verdana" w:hAnsi="Verdana"/>
        </w:rPr>
        <w:lastRenderedPageBreak/>
        <w:t xml:space="preserve">Обеспечительный платеж обеспечивает исполнение Покупателем денежных обязательств по оплате цены недвижимого имущества (п.п. 2.2.1 Договора), в том числе обязанность возместить убытки или уплатить неустойку в случае нарушения Договора (п.п. 6.1, 6.2 Договора). Обеспечительный платеж является собственностью Продавца. 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</w:t>
      </w:r>
      <w:r w:rsidR="00B50E62" w:rsidRPr="003C2F18">
        <w:rPr>
          <w:rFonts w:ascii="Verdana" w:hAnsi="Verdana"/>
        </w:rPr>
        <w:t>1</w:t>
      </w:r>
      <w:r w:rsidR="00B50E62">
        <w:rPr>
          <w:rFonts w:ascii="Verdana" w:hAnsi="Verdana"/>
        </w:rPr>
        <w:t>2</w:t>
      </w:r>
      <w:r w:rsidR="00B50E62" w:rsidRPr="003C2F18">
        <w:rPr>
          <w:rFonts w:ascii="Verdana" w:hAnsi="Verdana"/>
        </w:rPr>
        <w:t xml:space="preserve"> </w:t>
      </w:r>
      <w:r w:rsidR="003C2F18" w:rsidRPr="003C2F18">
        <w:rPr>
          <w:rFonts w:ascii="Verdana" w:hAnsi="Verdana"/>
        </w:rPr>
        <w:t>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___________ (_____________) рублей ___ копеек (в том числе НДС, исчисленный в соответствии с действующим законодательством/НДС не облагается).В случае отказа Продавца от Договора в соответствии с пунктом 9.2. Договора (не поступление на счет Продавца оплаты цены недвижимого имущества; не открытия / не продления аккредитива) Обеспечительный платеж не подлежит возврату Покупателю и остается у Продавца.</w:t>
      </w:r>
    </w:p>
    <w:p w14:paraId="228956B8" w14:textId="3F5C919A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5"/>
      </w:tblGrid>
      <w:tr w:rsidR="000A1317" w:rsidRPr="00214013" w14:paraId="50B7A1CA" w14:textId="77777777" w:rsidTr="00921B0E">
        <w:tc>
          <w:tcPr>
            <w:tcW w:w="2586" w:type="dxa"/>
            <w:shd w:val="clear" w:color="auto" w:fill="auto"/>
          </w:tcPr>
          <w:p w14:paraId="7871730B" w14:textId="77777777" w:rsidR="000A1317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3575C1E" w14:textId="77777777" w:rsidR="000A1317" w:rsidRPr="00214013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3975ACC3" w14:textId="77777777" w:rsidR="000A1317" w:rsidRPr="00214013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727181B7" w14:textId="77777777" w:rsidR="00B5465D" w:rsidRPr="00214013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078A3143" w14:textId="77777777" w:rsidR="000A1317" w:rsidRPr="00214013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>2.</w:t>
            </w:r>
            <w:r w:rsidR="001C7960" w:rsidRPr="00214013">
              <w:rPr>
                <w:rFonts w:ascii="Verdana" w:hAnsi="Verdana"/>
              </w:rPr>
              <w:t>7</w:t>
            </w:r>
            <w:r w:rsidR="000A1317" w:rsidRPr="00214013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214013">
              <w:rPr>
                <w:rFonts w:ascii="Verdana" w:hAnsi="Verdana"/>
              </w:rPr>
              <w:t xml:space="preserve"> н</w:t>
            </w:r>
            <w:r w:rsidR="00387FA5" w:rsidRPr="00214013">
              <w:rPr>
                <w:rFonts w:ascii="Verdana" w:hAnsi="Verdana"/>
              </w:rPr>
              <w:t>едвижимого имущества</w:t>
            </w:r>
            <w:r w:rsidR="000A1317" w:rsidRPr="00214013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214013">
              <w:rPr>
                <w:rFonts w:ascii="Verdana" w:hAnsi="Verdana"/>
              </w:rPr>
              <w:t>Договора</w:t>
            </w:r>
            <w:r w:rsidR="000A1317" w:rsidRPr="00214013">
              <w:rPr>
                <w:rFonts w:ascii="Verdana" w:hAnsi="Verdana"/>
              </w:rPr>
              <w:t xml:space="preserve">, в течение </w:t>
            </w:r>
            <w:r w:rsidR="000A1317"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214013">
              <w:rPr>
                <w:rFonts w:ascii="Verdana" w:hAnsi="Verdana"/>
                <w:color w:val="0070C0"/>
              </w:rPr>
              <w:t xml:space="preserve"> </w:t>
            </w:r>
            <w:r w:rsidR="000A1317" w:rsidRPr="00214013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214013">
              <w:rPr>
                <w:rFonts w:ascii="Verdana" w:hAnsi="Verdana"/>
              </w:rPr>
              <w:t xml:space="preserve"> по оплате</w:t>
            </w:r>
            <w:r w:rsidR="00F8488D" w:rsidRPr="00214013">
              <w:rPr>
                <w:rFonts w:ascii="Verdana" w:hAnsi="Verdana"/>
              </w:rPr>
              <w:t xml:space="preserve"> ц</w:t>
            </w:r>
            <w:r w:rsidR="003C33D0" w:rsidRPr="00214013">
              <w:rPr>
                <w:rFonts w:ascii="Verdana" w:hAnsi="Verdana"/>
              </w:rPr>
              <w:t>ены н</w:t>
            </w:r>
            <w:r w:rsidR="00CD0BC6" w:rsidRPr="00214013">
              <w:rPr>
                <w:rFonts w:ascii="Verdana" w:hAnsi="Verdana"/>
              </w:rPr>
              <w:t>едвижимого имущества</w:t>
            </w:r>
            <w:r w:rsidR="00920057" w:rsidRPr="00214013">
              <w:rPr>
                <w:rFonts w:ascii="Verdana" w:hAnsi="Verdana"/>
              </w:rPr>
              <w:t xml:space="preserve"> в полном объеме</w:t>
            </w:r>
            <w:r w:rsidR="000A1317" w:rsidRPr="00214013">
              <w:rPr>
                <w:rFonts w:ascii="Verdana" w:hAnsi="Verdana"/>
              </w:rPr>
              <w:t>.</w:t>
            </w:r>
          </w:p>
          <w:p w14:paraId="5B907A7B" w14:textId="77777777" w:rsidR="000A1317" w:rsidRPr="00214013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214013" w14:paraId="68A6A4DA" w14:textId="77777777" w:rsidTr="00921B0E">
        <w:tc>
          <w:tcPr>
            <w:tcW w:w="2586" w:type="dxa"/>
            <w:shd w:val="clear" w:color="auto" w:fill="auto"/>
          </w:tcPr>
          <w:p w14:paraId="2FC6ABCF" w14:textId="77777777" w:rsidR="00CE4699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3B9ED7A" w14:textId="564A94BC" w:rsidR="00C55B7E" w:rsidRPr="00214013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214013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 w:rsidRPr="00214013">
              <w:rPr>
                <w:rFonts w:ascii="Verdana" w:hAnsi="Verdana"/>
                <w:i/>
                <w:color w:val="FF0000"/>
              </w:rPr>
              <w:t>)</w:t>
            </w:r>
            <w:r w:rsidRPr="00214013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3ED853E3" w14:textId="77777777" w:rsidR="000A1317" w:rsidRPr="00214013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0C16FAF8" w14:textId="77777777" w:rsidR="000A1317" w:rsidRPr="00214013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0973FE62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0F3834" w14:textId="77AB80AA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4EEC0A24" w14:textId="77777777" w:rsidR="00A24C91" w:rsidRPr="00214013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D3E5027" w14:textId="38E1A4BC" w:rsidR="009C7E24" w:rsidRPr="003C2F18" w:rsidRDefault="00D95D9D" w:rsidP="003C2F18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720"/>
        <w:jc w:val="both"/>
        <w:rPr>
          <w:rFonts w:ascii="Verdana" w:hAnsi="Verdana"/>
        </w:rPr>
      </w:pPr>
      <w:r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Недвижимое имущество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9C7E24">
        <w:rPr>
          <w:rFonts w:ascii="Verdana" w:hAnsi="Verdana"/>
          <w:i/>
          <w:color w:val="0070C0"/>
        </w:rPr>
        <w:t>в течение</w:t>
      </w:r>
      <w:r w:rsidR="003C2F18" w:rsidRPr="003C2F18">
        <w:t xml:space="preserve"> </w:t>
      </w:r>
      <w:r w:rsidR="003C2F18" w:rsidRPr="003C2F18">
        <w:rPr>
          <w:rFonts w:ascii="Verdana" w:hAnsi="Verdana"/>
          <w:i/>
          <w:color w:val="0070C0"/>
        </w:rPr>
        <w:t xml:space="preserve">в течение 5 (пяти) </w:t>
      </w:r>
      <w:r w:rsidR="002C1077" w:rsidRPr="009C7E24">
        <w:rPr>
          <w:rFonts w:ascii="Verdana" w:hAnsi="Verdana"/>
        </w:rPr>
        <w:t xml:space="preserve">рабочих дней </w:t>
      </w:r>
      <w:r w:rsidR="003C2F18" w:rsidRPr="009C7E24">
        <w:rPr>
          <w:rFonts w:ascii="Verdana" w:hAnsi="Verdana"/>
          <w:color w:val="000000" w:themeColor="text1"/>
        </w:rPr>
        <w:t xml:space="preserve">с даты государственной регистрации перехода права </w:t>
      </w:r>
      <w:r w:rsidR="003C2F18" w:rsidRPr="009C7E24">
        <w:rPr>
          <w:rFonts w:ascii="Verdana" w:hAnsi="Verdana"/>
          <w:color w:val="000000" w:themeColor="text1"/>
        </w:rPr>
        <w:lastRenderedPageBreak/>
        <w:t>собственности на недвижимое имущество к Покупателю.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77777777" w:rsidR="00CE777E" w:rsidRPr="00214013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4E44F3A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5C03645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4"/>
      </w:tblGrid>
      <w:tr w:rsidR="00211F7A" w:rsidRPr="00214013" w14:paraId="10B9C949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39EEB282" w14:textId="77777777" w:rsidR="00211F7A" w:rsidRPr="00214013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542FCF8" w14:textId="722C74E9" w:rsidR="00211F7A" w:rsidRPr="00214013" w:rsidRDefault="00702470" w:rsidP="00817EE3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5EF8478" w14:textId="77777777" w:rsidR="00211F7A" w:rsidRPr="00214013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E7CC4BE" w14:textId="77777777" w:rsidR="00F54327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  <w:p w14:paraId="66237AC7" w14:textId="3046197F" w:rsidR="003C2F18" w:rsidRPr="00214013" w:rsidRDefault="003C2F18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(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Банк должен иметь кредитный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рейтинг, подтвержденный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одним из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аккредитованных ЦБ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РФ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рейтинговых агентств: не ниже BBB (RU) от АКРА (АО), ruBBB от АО «Эксперт РА»,BBB.ru от ООО «НКР»,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BBB|ru| от ООО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«НРА».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9C140B4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529E99C8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3C2F18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02CEFE66" w:rsidR="00B55657" w:rsidRPr="00214013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даты </w:t>
      </w:r>
      <w:r w:rsidR="00386B6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государственной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регистрации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права собстве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</w:t>
      </w:r>
      <w:r w:rsidR="005443B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</w:t>
      </w:r>
      <w:r w:rsidR="0021401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либо до </w:t>
      </w:r>
      <w:r w:rsidR="00C537C0" w:rsidRPr="00214013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214013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467D7099" w14:textId="77777777" w:rsidR="005E5948" w:rsidRPr="00165B09" w:rsidRDefault="005E5948" w:rsidP="005E5948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B23CEC">
        <w:rPr>
          <w:rFonts w:ascii="Verdana" w:eastAsia="Times New Roman" w:hAnsi="Verdana"/>
          <w:sz w:val="20"/>
          <w:szCs w:val="20"/>
          <w:lang w:eastAsia="ru-RU"/>
        </w:rPr>
        <w:t>4.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2.8. </w:t>
      </w:r>
      <w:r w:rsidRPr="00165B09">
        <w:rPr>
          <w:rFonts w:ascii="Verdana" w:hAnsi="Verdana" w:cs="Verdana"/>
          <w:sz w:val="18"/>
          <w:szCs w:val="18"/>
        </w:rPr>
        <w:t>Покупатель обязан предоставить Продавцу выписку из ЕГРН, выданн</w:t>
      </w:r>
      <w:r>
        <w:rPr>
          <w:rFonts w:ascii="Verdana" w:hAnsi="Verdana" w:cs="Verdana"/>
          <w:sz w:val="18"/>
          <w:szCs w:val="18"/>
        </w:rPr>
        <w:t>ую</w:t>
      </w:r>
      <w:r w:rsidRPr="00165B09">
        <w:rPr>
          <w:rFonts w:ascii="Verdana" w:hAnsi="Verdana" w:cs="Verdana"/>
          <w:sz w:val="18"/>
          <w:szCs w:val="18"/>
        </w:rPr>
        <w:t xml:space="preserve"> Росреестром, подтверждающ</w:t>
      </w:r>
      <w:r>
        <w:rPr>
          <w:rFonts w:ascii="Verdana" w:hAnsi="Verdana" w:cs="Verdana"/>
          <w:sz w:val="18"/>
          <w:szCs w:val="18"/>
        </w:rPr>
        <w:t>ую</w:t>
      </w:r>
      <w:r w:rsidRPr="00165B09">
        <w:rPr>
          <w:rFonts w:ascii="Verdana" w:hAnsi="Verdana" w:cs="Verdana"/>
          <w:sz w:val="18"/>
          <w:szCs w:val="18"/>
        </w:rPr>
        <w:t xml:space="preserve"> переход права собственности на недвижимое имущество к Покупателю.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 </w:t>
      </w:r>
    </w:p>
    <w:p w14:paraId="3DA0783E" w14:textId="77777777"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28243F" w:rsidRPr="00214013" w14:paraId="29D14C04" w14:textId="77777777" w:rsidTr="0028243F">
        <w:tc>
          <w:tcPr>
            <w:tcW w:w="2410" w:type="dxa"/>
          </w:tcPr>
          <w:p w14:paraId="361AE75F" w14:textId="14FAD0F7" w:rsidR="0028243F" w:rsidRPr="003C2F18" w:rsidRDefault="003C2F18" w:rsidP="000703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C2F1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применяется в случае полной пост оплаты с аккредитивом</w:t>
            </w:r>
          </w:p>
        </w:tc>
        <w:tc>
          <w:tcPr>
            <w:tcW w:w="6935" w:type="dxa"/>
          </w:tcPr>
          <w:p w14:paraId="412B00FA" w14:textId="16EB0E20" w:rsidR="0028243F" w:rsidRPr="00214013" w:rsidRDefault="00A137C8" w:rsidP="00A137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4.3. </w:t>
            </w:r>
            <w:r w:rsidR="004440A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требованиями ЦБ РФ</w:t>
            </w:r>
            <w:r w:rsidR="004440AF"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</w:t>
            </w:r>
            <w:r w:rsidR="00A62FBA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5D5DFD15" w14:textId="67828653" w:rsidR="009A5FE5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5681704" w14:textId="1D1731A0" w:rsidR="00165B09" w:rsidRPr="00165B09" w:rsidRDefault="00165B09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105B199F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F80DF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F80DFF" w:rsidRPr="00F80DFF">
        <w:rPr>
          <w:rFonts w:ascii="Verdana" w:eastAsia="Times New Roman" w:hAnsi="Verdana" w:cs="Times New Roman"/>
          <w:i/>
          <w:color w:val="365F91" w:themeColor="accent1" w:themeShade="BF"/>
          <w:sz w:val="20"/>
          <w:szCs w:val="20"/>
          <w:lang w:eastAsia="ru-RU"/>
        </w:rPr>
        <w:t>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F80D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1DEF87F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F80DFF" w:rsidRPr="00F80DFF">
        <w:rPr>
          <w:rFonts w:ascii="Verdana" w:eastAsia="Times New Roman" w:hAnsi="Verdana" w:cs="Times New Roman"/>
          <w:i/>
          <w:color w:val="365F91" w:themeColor="accent1" w:themeShade="BF"/>
          <w:sz w:val="20"/>
          <w:szCs w:val="20"/>
          <w:lang w:eastAsia="ru-RU"/>
        </w:rPr>
        <w:t>30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F80D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2DC4E779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купателя 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80D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(одна 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471D1DF3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F80D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C37D16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483593B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5A2BCB1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F2D83FB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02CF812" w14:textId="26AE63A8" w:rsidR="00046C89" w:rsidRPr="00214013" w:rsidRDefault="00046C89" w:rsidP="00F80DF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0DFF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432FACB0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38DE93" w14:textId="49D72958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32595A62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6A2F640" w14:textId="77777777" w:rsidR="00F80DFF" w:rsidRPr="00214013" w:rsidRDefault="00F80DFF" w:rsidP="00F80D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ED2184" w14:textId="54CDA9D9" w:rsidR="00F80DFF" w:rsidRDefault="00F80DFF" w:rsidP="00F80D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3783B7ED" w:rsidR="00872ADB" w:rsidRPr="00730478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3AEC5E2F" w14:textId="77777777" w:rsidR="0089506A" w:rsidRPr="0015362D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10.1. </w:t>
      </w:r>
      <w:r w:rsidR="0089506A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1673E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редставители»):</w:t>
      </w:r>
    </w:p>
    <w:p w14:paraId="4D151AFB" w14:textId="589D5AE4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.4. Стороны признают, что их возможные неправомерные действия и нарушение настоящей Антикоррупционной оговорки могут повлечь за собой неблагоприятные 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15362D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7C9E8174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1F667501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F56AC"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710F19E2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B60EDA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67184CC9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710DFCCE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3C69BE86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214013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8"/>
      </w:tblGrid>
      <w:tr w:rsidR="00C76935" w:rsidRPr="00214013" w14:paraId="2D02135D" w14:textId="77777777" w:rsidTr="00F80DFF">
        <w:tc>
          <w:tcPr>
            <w:tcW w:w="2094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8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2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3E006299" w:rsidR="00C76935" w:rsidRPr="00214013" w:rsidRDefault="00C76935" w:rsidP="00F80DFF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F80DFF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74CA5" w:rsidRPr="00214013" w14:paraId="62B9DAB8" w14:textId="77777777" w:rsidTr="00F80DFF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1CA2A5C4" w14:textId="5D5299C5" w:rsidR="00D74CA5" w:rsidRPr="00214013" w:rsidRDefault="00D74CA5" w:rsidP="00F80DF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F80D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8" w:type="dxa"/>
            <w:shd w:val="clear" w:color="auto" w:fill="auto"/>
          </w:tcPr>
          <w:p w14:paraId="26BE045B" w14:textId="46765086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</w:tc>
      </w:tr>
      <w:tr w:rsidR="00D74CA5" w:rsidRPr="00214013" w14:paraId="5E3D11DA" w14:textId="77777777" w:rsidTr="00F80DFF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167C7563" w14:textId="77777777" w:rsidR="00D74CA5" w:rsidRPr="00D01131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8" w:type="dxa"/>
            <w:shd w:val="clear" w:color="auto" w:fill="auto"/>
          </w:tcPr>
          <w:p w14:paraId="3FB001AD" w14:textId="69FBD6E0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30CD2A42" w14:textId="77777777" w:rsidR="00F80DFF" w:rsidRDefault="00F80DFF" w:rsidP="00F9509E">
      <w:pPr>
        <w:jc w:val="right"/>
        <w:rPr>
          <w:rFonts w:ascii="Verdana" w:hAnsi="Verdana"/>
          <w:sz w:val="20"/>
          <w:szCs w:val="20"/>
        </w:rPr>
      </w:pPr>
    </w:p>
    <w:p w14:paraId="51EE59E3" w14:textId="4560D14F" w:rsidR="00F80DFF" w:rsidRDefault="00F80DFF" w:rsidP="00F80DFF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12</w:t>
      </w:r>
      <w:r w:rsidRPr="008509DF">
        <w:rPr>
          <w:rFonts w:ascii="Verdana" w:hAnsi="Verdana"/>
          <w:b/>
          <w:sz w:val="20"/>
          <w:szCs w:val="20"/>
        </w:rPr>
        <w:t>. АДРЕСА И РЕКВИЗИТЫ СТОРОН</w:t>
      </w:r>
    </w:p>
    <w:p w14:paraId="2E4A8ACF" w14:textId="77777777" w:rsidR="00F80DFF" w:rsidRPr="008509DF" w:rsidRDefault="00F80DFF" w:rsidP="00F80DFF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78"/>
        <w:gridCol w:w="4794"/>
      </w:tblGrid>
      <w:tr w:rsidR="00F80DFF" w:rsidRPr="00C9722C" w14:paraId="440C8ED8" w14:textId="77777777" w:rsidTr="00F80DFF">
        <w:tc>
          <w:tcPr>
            <w:tcW w:w="5388" w:type="dxa"/>
          </w:tcPr>
          <w:p w14:paraId="3FFB4849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14:paraId="2610E4CC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1263C80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 xml:space="preserve">ПРОДАВЕЦ:  </w:t>
            </w:r>
          </w:p>
          <w:p w14:paraId="62EBE4E5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 xml:space="preserve">Публичное акционерное общество </w:t>
            </w:r>
          </w:p>
          <w:p w14:paraId="0EB922B3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Национальный банк «ТРАСТ»</w:t>
            </w:r>
          </w:p>
          <w:p w14:paraId="6F74EA04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109004, г.Москва, Можайский вал ул., д.8</w:t>
            </w:r>
          </w:p>
          <w:p w14:paraId="7342961C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5C859759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ИНН 7831001567</w:t>
            </w:r>
          </w:p>
          <w:p w14:paraId="0C0C0FD2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КПП 773001001</w:t>
            </w:r>
          </w:p>
          <w:p w14:paraId="45C7A0A3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к/с № 30101810345250000635 в ГУ</w:t>
            </w:r>
          </w:p>
          <w:p w14:paraId="166A73A5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Банка России по Центральному</w:t>
            </w:r>
          </w:p>
          <w:p w14:paraId="0CE34009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Федеральному Округу</w:t>
            </w:r>
          </w:p>
          <w:p w14:paraId="051C4A80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 xml:space="preserve">Счет для оплаты: </w:t>
            </w:r>
          </w:p>
          <w:p w14:paraId="2962D0F1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EF6691E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3684" w:type="dxa"/>
          </w:tcPr>
          <w:p w14:paraId="5E2B8D3F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47D69290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DC16EA4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________________________________</w:t>
            </w:r>
          </w:p>
          <w:p w14:paraId="50BE3243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Местонахождение/почтовый адрес: ____________________________________</w:t>
            </w:r>
          </w:p>
          <w:p w14:paraId="2B9B2662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ИНН _______________________________ </w:t>
            </w:r>
          </w:p>
          <w:p w14:paraId="7A1C429B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ОГРН ______________________________</w:t>
            </w:r>
          </w:p>
          <w:p w14:paraId="29343FAD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Р/с _________________________________</w:t>
            </w:r>
          </w:p>
          <w:p w14:paraId="547BA3FE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в ___________________________________</w:t>
            </w:r>
          </w:p>
          <w:p w14:paraId="264F2071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К/с _________________________________</w:t>
            </w:r>
          </w:p>
          <w:p w14:paraId="449C485F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БИК ________________________________</w:t>
            </w:r>
          </w:p>
          <w:p w14:paraId="3A913CA1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0CFB757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                        </w:t>
            </w:r>
          </w:p>
          <w:p w14:paraId="6BB9700D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</w:tc>
      </w:tr>
    </w:tbl>
    <w:p w14:paraId="30D0D281" w14:textId="77777777" w:rsidR="00F80DF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56287721" w14:textId="77777777" w:rsidR="00F80DFF" w:rsidRPr="008509D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96F05C7" w14:textId="77777777" w:rsidR="00F80DFF" w:rsidRPr="008509D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33D867F" w14:textId="77777777" w:rsidR="00F80DFF" w:rsidRPr="00A1228E" w:rsidRDefault="00F80DFF" w:rsidP="00F80D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A5DA2DB" w14:textId="77777777" w:rsidR="00F80DFF" w:rsidRPr="008509D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53D9AE8" w14:textId="77777777" w:rsidR="00F80DFF" w:rsidRPr="008509D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6C669D" w14:textId="77777777" w:rsidR="00F80DF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1B2900C6" w14:textId="04A94E96" w:rsidR="00F80DFF" w:rsidRDefault="00F80DFF" w:rsidP="00F80DFF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7BD3EBEA" w14:textId="1E618A9C" w:rsidR="00DD5861" w:rsidRPr="00214013" w:rsidRDefault="00DD5861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C0E79A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25DC912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2F7835F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6C77801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F79F57C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CB5BA8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8880C0E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6434EA1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49802E66" w14:textId="77777777" w:rsidR="00F80DFF" w:rsidRDefault="00F80DFF" w:rsidP="00D3622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3038148" w14:textId="77777777" w:rsidR="00F80DFF" w:rsidRPr="00214013" w:rsidRDefault="00F80DFF" w:rsidP="00F80DF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E3A7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именуемое в дальнейшем </w:t>
      </w:r>
      <w:r w:rsidRPr="002E3A72">
        <w:rPr>
          <w:rFonts w:ascii="Verdana" w:eastAsia="Times New Roman" w:hAnsi="Verdana" w:cs="Times New Roman"/>
          <w:b/>
          <w:sz w:val="20"/>
          <w:szCs w:val="20"/>
          <w:lang w:eastAsia="ru-RU"/>
        </w:rPr>
        <w:t>«Продавец</w:t>
      </w:r>
      <w:r w:rsidRPr="002E3A72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0D6A4867" w14:textId="77777777" w:rsidTr="00D36227">
        <w:tc>
          <w:tcPr>
            <w:tcW w:w="1276" w:type="dxa"/>
            <w:shd w:val="clear" w:color="auto" w:fill="auto"/>
          </w:tcPr>
          <w:p w14:paraId="4B7B30B9" w14:textId="129B4288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216388CB" w14:textId="5A9CC695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29F6051" w14:textId="1092B48F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4663CAD3" w14:textId="77777777" w:rsidTr="002E3A72">
              <w:tc>
                <w:tcPr>
                  <w:tcW w:w="1701" w:type="dxa"/>
                  <w:shd w:val="clear" w:color="auto" w:fill="auto"/>
                </w:tcPr>
                <w:p w14:paraId="673F034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EC0F193" w14:textId="77777777" w:rsidTr="002E3A72">
                    <w:tc>
                      <w:tcPr>
                        <w:tcW w:w="6969" w:type="dxa"/>
                      </w:tcPr>
                      <w:p w14:paraId="776CA9F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07563772" w14:textId="77777777" w:rsidTr="002E3A72">
                    <w:tc>
                      <w:tcPr>
                        <w:tcW w:w="6969" w:type="dxa"/>
                      </w:tcPr>
                      <w:p w14:paraId="6B0058A9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199C132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295582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0F12D856" w14:textId="77777777" w:rsidTr="002E3A72">
              <w:tc>
                <w:tcPr>
                  <w:tcW w:w="1701" w:type="dxa"/>
                  <w:shd w:val="clear" w:color="auto" w:fill="auto"/>
                </w:tcPr>
                <w:p w14:paraId="7D68E7C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F285686" w14:textId="77777777" w:rsidTr="002E3A72">
                    <w:tc>
                      <w:tcPr>
                        <w:tcW w:w="6969" w:type="dxa"/>
                      </w:tcPr>
                      <w:p w14:paraId="3C8FAE8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512B3EC" w14:textId="77777777" w:rsidTr="002E3A7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98C43D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98D161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49624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1FF99FE" w14:textId="77777777" w:rsidTr="002E3A72">
              <w:tc>
                <w:tcPr>
                  <w:tcW w:w="1701" w:type="dxa"/>
                  <w:shd w:val="clear" w:color="auto" w:fill="auto"/>
                </w:tcPr>
                <w:p w14:paraId="61021EFA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247B59F" w14:textId="77777777" w:rsidTr="002E3A72">
                    <w:tc>
                      <w:tcPr>
                        <w:tcW w:w="6969" w:type="dxa"/>
                      </w:tcPr>
                      <w:p w14:paraId="296B3E7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3844E9FD" w14:textId="77777777" w:rsidTr="002E3A7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0F413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6D16C0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5EFBED0" w14:textId="77777777" w:rsidTr="002E3A72">
                    <w:tc>
                      <w:tcPr>
                        <w:tcW w:w="6969" w:type="dxa"/>
                      </w:tcPr>
                      <w:p w14:paraId="6B2AD9B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E17F78E" w14:textId="77777777" w:rsidTr="002E3A7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9781059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880D88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4BCDB8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E864F60" w14:textId="616FEFB5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9FD9AF" w14:textId="77777777" w:rsidR="00670033" w:rsidRPr="009C7E24" w:rsidRDefault="00670033" w:rsidP="00363DC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2965B83B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Нежилое здание, назначение: Нежилое здание литера В, кадастровый номер: 63:08:0105056:392, этажность: 1, общей площадью: 218,7 кв. м, адрес (местонахождение): Самарская область, г. Сызрань, ул. Саратовское шоссе, д. 5 </w:t>
            </w:r>
          </w:p>
          <w:p w14:paraId="3E59866D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Нежилое здание, назначение: отдельно стоящее нежилое здание с нежилыми пристроями, кадастровый номер: 63:08:0105056:438, этажность: 2, общей площадью: 9265,4 кв. м, адрес </w:t>
            </w: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(местонахождение): Самарская область, г. Сызрань, ул. Саратовское шоссе, д.5;</w:t>
            </w:r>
          </w:p>
          <w:p w14:paraId="0B86D905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литера З, кадастровый номер: 63:08:0105056:429, этажность: 1, общей площадью: 68,8 кв. м, адрес (местонахождение): Самарская область, г. Сызрань, ул. Саратовское шоссе, д.5;</w:t>
            </w:r>
          </w:p>
          <w:p w14:paraId="4F404AFD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литера Г, кадастровый номер: 63:08:0105056:393, этажность: 1, общей площадью: 24,2 кв. м, адрес (местонахождение): Самарская область, г. Сызрань, ул. Саратовское шоссе, д.5;</w:t>
            </w:r>
          </w:p>
          <w:p w14:paraId="7089B242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с пристроями литера АА1А2А3, кадастровый номер: 63:08:0105056:541, этажность: 1, общей площадью: 170,6 кв. м, адрес (местонахождение): Самарская область, г. Сызрань, ул. Саратовское шоссе, д.5;</w:t>
            </w:r>
          </w:p>
          <w:p w14:paraId="6D8892D2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отдельностоящее нежилое здание литера Ж, кадастровый номер: 63:08:0105056:538, этажность: 1, общей площадью: 98,5 кв. м, адрес (местонахождение): Самарская область, г. Сызрань, ул. Саратовское шоссе, д.5;</w:t>
            </w:r>
          </w:p>
          <w:p w14:paraId="2B758471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Производственное (промышленное) сооружение, назначение: железнодорожный подъездной путь протяженностью 340 м, состоящий из рельсов марки Р-65, Р-75, деревянных шпал в кол-ве 235 шт., ж/бетонных шпал в кол-ве 311шт. Литера П, кадастровый номер: 63:08:0105056:440, адрес (местонахождение): Самарская область, г. Сызрань, ул. Саратовское шоссе, 5;</w:t>
            </w:r>
          </w:p>
          <w:p w14:paraId="5666AA28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Земельный участок, кадастровый номер: 63:08:0105061:11, категория земель: Земли населенных пунктов, вид разрешенного использования: Для производственной базы, общей площадью 33500 +/- 22 кв. м, адрес (местонахождение): установлено относительно ориентира, расположенного в границах участка. Почтовый адрес ориентира: установлено относительно ориентира, расположенного в границах участка.</w:t>
            </w:r>
          </w:p>
          <w:p w14:paraId="52686F01" w14:textId="3B9AA8D5" w:rsidR="00670033" w:rsidRPr="009C7E24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Почтовый адрес ориентира: Самарская область, г. Сызрань, Саратовское шоссе, дом 5.</w:t>
            </w:r>
          </w:p>
          <w:p w14:paraId="0B7753A8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286D8A95" w14:textId="7BD102C8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512075F3" w14:textId="77777777" w:rsidTr="00D36227">
        <w:tc>
          <w:tcPr>
            <w:tcW w:w="1276" w:type="dxa"/>
            <w:shd w:val="clear" w:color="auto" w:fill="auto"/>
          </w:tcPr>
          <w:p w14:paraId="319C372D" w14:textId="21195D31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3FF36241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030B5A80" w14:textId="6C74EEE4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659B8151" w14:textId="4AA5145E" w:rsidR="00363DC4" w:rsidRPr="00487965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38D0E032" w14:textId="38C141A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Нежилое здание, назначение: Нежилое здание литера В, кадастровый номер: 63:08:0105056:392, этажность: 1, общей площадью: 218,7 кв. м, адрес (местонахождение): Самарская область, г. Сызрань, ул. Саратовское шоссе, д. 5 </w:t>
            </w:r>
          </w:p>
          <w:p w14:paraId="4035B275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отдельно стоящее нежилое здание с нежилыми пристроями, кадастровый номер: 63:08:0105056:438, этажность: 2, общей площадью: 9265,4 кв. м, адрес (местонахождение): Самарская область, г. Сызрань, ул. Саратовское шоссе, д.5;</w:t>
            </w:r>
          </w:p>
          <w:p w14:paraId="670C199A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Нежилое здание, назначение: нежилое здание литера З, кадастровый номер: 63:08:0105056:429, этажность: 1, общей </w:t>
            </w: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площадью: 68,8 кв. м, адрес (местонахождение): Самарская область, г. Сызрань, ул. Саратовское шоссе, д.5;</w:t>
            </w:r>
          </w:p>
          <w:p w14:paraId="563F26C0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литера Г, кадастровый номер: 63:08:0105056:393, этажность: 1, общей площадью: 24,2 кв. м, адрес (местонахождение): Самарская область, г. Сызрань, ул. Саратовское шоссе, д.5;</w:t>
            </w:r>
          </w:p>
          <w:p w14:paraId="4FBE6C9D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с пристроями литера АА1А2А3, кадастровый номер: 63:08:0105056:541, этажность: 1, общей площадью: 170,6 кв. м, адрес (местонахождение): Самарская область, г. Сызрань, ул. Саратовское шоссе, д.5;</w:t>
            </w:r>
          </w:p>
          <w:p w14:paraId="5759AD35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отдельностоящее нежилое здание литера Ж, кадастровый номер: 63:08:0105056:538, этажность: 1, общей площадью: 98,5 кв. м, адрес (местонахождение): Самарская область, г. Сызрань, ул. Саратовское шоссе, д.5;</w:t>
            </w:r>
          </w:p>
          <w:p w14:paraId="2656B2DB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Производственное (промышленное) сооружение, назначение: железнодорожный подъездной путь протяженностью 340 м, состоящий из рельсов марки Р-65, Р-75, деревянных шпал в кол-ве 235 шт., ж/бетонных шпал в кол-ве 311шт. Литера П, кадастровый номер: 63:08:0105056:440, адрес (местонахождение): Самарская область, г. Сызрань, ул. Саратовское шоссе, 5;</w:t>
            </w:r>
          </w:p>
          <w:p w14:paraId="671844E9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Земельный участок, кадастровый номер: 63:08:0105061:11, категория земель: Земли населенных пунктов, вид разрешенного использования: Для производственной базы, общей площадью 33500 +/- 22 кв. м, адрес (местонахождение): установлено относительно ориентира, расположенного в границах участка. Почтовый адрес ориентира: установлено относительно ориентира, расположенного в границах участка.</w:t>
            </w:r>
          </w:p>
          <w:p w14:paraId="4608B462" w14:textId="2918982E" w:rsidR="00363DC4" w:rsidRPr="009C7E24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Почтовый адрес ориентира: Самарская область, г. Сызрань, Саратовское шоссе, дом 5.</w:t>
            </w:r>
          </w:p>
          <w:p w14:paraId="56FCE2A6" w14:textId="46B7B2F9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770D37BE" w14:textId="5392B1D1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1B6E987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543EF6" w14:textId="35BB4FDC" w:rsidR="00673AB0" w:rsidRPr="00B636F7" w:rsidRDefault="00673AB0" w:rsidP="00B636F7">
      <w:pPr>
        <w:pStyle w:val="a5"/>
        <w:adjustRightInd w:val="0"/>
        <w:ind w:left="375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="00B636F7">
        <w:rPr>
          <w:rFonts w:ascii="Verdana" w:hAnsi="Verdana"/>
        </w:rPr>
        <w:t xml:space="preserve">  </w:t>
      </w:r>
      <w:r w:rsidRPr="00B636F7">
        <w:rPr>
          <w:rFonts w:ascii="Verdana" w:hAnsi="Verdana"/>
        </w:rPr>
        <w:t>Покупатель осознает, что фактическое состояние недвижимого имущества может потребовать проведение силами Покупателя мероприятий относительно недвижимого имущества, связанных с его фактическим состоянием, в соответствии с законодательством РФ.</w:t>
      </w:r>
    </w:p>
    <w:p w14:paraId="61299E39" w14:textId="43DE7FFB" w:rsidR="00DD5861" w:rsidRPr="00B636F7" w:rsidRDefault="00673AB0" w:rsidP="00B636F7">
      <w:pPr>
        <w:pStyle w:val="a5"/>
        <w:adjustRightInd w:val="0"/>
        <w:ind w:left="375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DD5861" w:rsidRPr="00B636F7">
        <w:rPr>
          <w:rFonts w:ascii="Verdana" w:hAnsi="Verdana"/>
        </w:rPr>
        <w:t>Обязательства по Договору в части передачи недвижимого имущества Покупателю, Продавцом выполнены полностью.</w:t>
      </w:r>
      <w:r w:rsidR="00EA353C" w:rsidRPr="00B636F7">
        <w:rPr>
          <w:rFonts w:ascii="Verdana" w:hAnsi="Verdana"/>
        </w:rPr>
        <w:t xml:space="preserve"> </w:t>
      </w:r>
    </w:p>
    <w:p w14:paraId="14A7D884" w14:textId="339A7E46" w:rsidR="002508FF" w:rsidRPr="00CD4C14" w:rsidRDefault="00673AB0" w:rsidP="00B636F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CD4C14" w14:paraId="6F9582AA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0172" w14:textId="0098BBB3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E3DCB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CD4C14" w14:paraId="68862224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29F94" w14:textId="1392610C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24CD4A2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CD8B05E" w14:textId="77777777"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F2F891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4736943D" w14:textId="16B9ACF4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13E1BF88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D6FF0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C387C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124FAEE9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3682CB" w14:textId="77777777" w:rsidR="00F80DFF" w:rsidRPr="008509DF" w:rsidRDefault="00F80DFF" w:rsidP="00F80DF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 xml:space="preserve">2 </w:t>
      </w:r>
    </w:p>
    <w:p w14:paraId="42446CA1" w14:textId="77777777" w:rsidR="00F80DFF" w:rsidRPr="008509DF" w:rsidRDefault="00F80DFF" w:rsidP="00F80DFF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6082FE2" w14:textId="77777777" w:rsidR="00F80DFF" w:rsidRPr="008509DF" w:rsidRDefault="00F80DFF" w:rsidP="00F80DFF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1321D150" w14:textId="77777777" w:rsidR="00F80DFF" w:rsidRPr="008509DF" w:rsidRDefault="00F80DFF" w:rsidP="00F80DFF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1367A63C" w14:textId="77777777" w:rsidR="00F80DFF" w:rsidRPr="00C9722C" w:rsidRDefault="00F80DFF" w:rsidP="00F80DFF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C9722C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0A60F9CE" w14:textId="77777777" w:rsidR="00F80DFF" w:rsidRPr="00C9722C" w:rsidRDefault="00F80DFF" w:rsidP="00F80DFF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455C1B8B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Вид аккредитива: безотзывный; покрытый.</w:t>
      </w:r>
    </w:p>
    <w:p w14:paraId="799976D0" w14:textId="77777777" w:rsidR="00F80DFF" w:rsidRPr="00C9722C" w:rsidRDefault="00F80DFF" w:rsidP="00F80DFF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0F70092B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Срок аккредитива: 60 календарных дней с даты открытия аккредитива.</w:t>
      </w:r>
    </w:p>
    <w:p w14:paraId="581C76FC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Pr="00C9722C">
        <w:rPr>
          <w:rStyle w:val="af5"/>
          <w:rFonts w:ascii="Verdana" w:eastAsia="SimSun" w:hAnsi="Verdana"/>
          <w:kern w:val="1"/>
          <w:lang w:eastAsia="hi-IN" w:bidi="hi-IN"/>
        </w:rPr>
        <w:footnoteReference w:id="4"/>
      </w:r>
      <w:r w:rsidRPr="00C9722C">
        <w:rPr>
          <w:rFonts w:ascii="Verdana" w:eastAsia="SimSun" w:hAnsi="Verdana"/>
          <w:kern w:val="1"/>
          <w:lang w:eastAsia="hi-IN" w:bidi="hi-IN"/>
        </w:rPr>
        <w:t>: ______________.</w:t>
      </w:r>
    </w:p>
    <w:p w14:paraId="570D7C82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Банк-эмитент</w:t>
      </w:r>
      <w:r w:rsidRPr="00C9722C">
        <w:rPr>
          <w:rStyle w:val="af5"/>
          <w:rFonts w:ascii="Verdana" w:eastAsia="SimSun" w:hAnsi="Verdana"/>
          <w:kern w:val="1"/>
          <w:lang w:eastAsia="hi-IN" w:bidi="hi-IN"/>
        </w:rPr>
        <w:footnoteReference w:id="5"/>
      </w:r>
      <w:r w:rsidRPr="00C9722C">
        <w:rPr>
          <w:rFonts w:ascii="Verdana" w:eastAsia="SimSun" w:hAnsi="Verdana"/>
          <w:kern w:val="1"/>
          <w:lang w:eastAsia="hi-IN" w:bidi="hi-IN"/>
        </w:rPr>
        <w:t xml:space="preserve">: </w:t>
      </w:r>
      <w:r w:rsidRPr="00C9722C">
        <w:rPr>
          <w:rFonts w:ascii="Verdana" w:hAnsi="Verdana"/>
          <w:i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B6E74B3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C9722C">
        <w:rPr>
          <w:rFonts w:ascii="Verdana" w:eastAsia="SimSun" w:hAnsi="Verdana"/>
          <w:i/>
          <w:kern w:val="1"/>
          <w:lang w:eastAsia="hi-IN" w:bidi="hi-IN"/>
        </w:rPr>
        <w:t>____________</w:t>
      </w:r>
      <w:r w:rsidRPr="00C9722C">
        <w:rPr>
          <w:rFonts w:ascii="Verdana" w:hAnsi="Verdana"/>
          <w:i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77FB8F8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9E7AF94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68477E0E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9BBCF42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50AC73B" w14:textId="77777777" w:rsidR="00F80DFF" w:rsidRPr="00E16B4F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6B4F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(Публичное акционерное общество Национальный банк «ТРАСТ», ИНН 7831001567, КПП 773001001, ОГРН 1027800000480, БИК 044525635, корр/счет № 30101810345250000635  в ГУ Банка России по Центральному Федеральному Округу, л/с ___________________). </w:t>
      </w:r>
    </w:p>
    <w:p w14:paraId="1989FB60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5D7D5CA7" w14:textId="77777777" w:rsidR="00F80DFF" w:rsidRPr="003102E7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hAnsi="Verdana" w:cs="Arial"/>
        </w:rPr>
        <w:t>Платеж</w:t>
      </w:r>
      <w:r w:rsidRPr="00C9722C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C9722C">
        <w:rPr>
          <w:rFonts w:ascii="Verdana" w:hAnsi="Verdana"/>
        </w:rPr>
        <w:t xml:space="preserve"> </w:t>
      </w:r>
      <w:r w:rsidRPr="00C9722C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D585726" w14:textId="77777777" w:rsidR="00F80DFF" w:rsidRPr="003102E7" w:rsidRDefault="00F80DFF" w:rsidP="00F80DFF">
      <w:pPr>
        <w:pStyle w:val="a5"/>
        <w:ind w:left="709"/>
        <w:jc w:val="both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- </w:t>
      </w:r>
      <w:r w:rsidRPr="003102E7">
        <w:rPr>
          <w:rFonts w:ascii="Verdana" w:hAnsi="Verdana"/>
        </w:rPr>
        <w:t xml:space="preserve">Выписки из ЕГРН, выданной Росреестром, подтверждающей переход права собственности на недвижимое имущество к Покупателю.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 </w:t>
      </w:r>
    </w:p>
    <w:p w14:paraId="31141689" w14:textId="77777777" w:rsidR="00F80DFF" w:rsidRDefault="00F80DFF" w:rsidP="00F80DFF">
      <w:pPr>
        <w:pStyle w:val="a5"/>
        <w:ind w:left="732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3102E7">
        <w:rPr>
          <w:rFonts w:ascii="Verdana" w:hAnsi="Verdana"/>
        </w:rPr>
        <w:t>ДКП, заключенного между Продавцом и Покупателем (в виде оригинала или нотариально заверенной копии);</w:t>
      </w:r>
    </w:p>
    <w:p w14:paraId="6AB1556B" w14:textId="77777777" w:rsidR="00F80DFF" w:rsidRPr="003102E7" w:rsidRDefault="00F80DFF" w:rsidP="00F80DFF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3102E7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3102E7">
        <w:rPr>
          <w:rFonts w:ascii="Verdana" w:hAnsi="Verdana"/>
          <w:i/>
        </w:rPr>
        <w:t>5 (Пяти)</w:t>
      </w:r>
      <w:r w:rsidRPr="003102E7">
        <w:rPr>
          <w:rFonts w:ascii="Verdana" w:hAnsi="Verdana"/>
        </w:rPr>
        <w:t xml:space="preserve">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3102E7">
        <w:rPr>
          <w:rFonts w:ascii="Verdana" w:hAnsi="Verdana"/>
          <w:i/>
        </w:rPr>
        <w:t>30 (Тридцать)</w:t>
      </w:r>
      <w:r w:rsidRPr="003102E7">
        <w:rPr>
          <w:rFonts w:ascii="Verdana" w:hAnsi="Verdana"/>
        </w:rPr>
        <w:t xml:space="preserve"> </w:t>
      </w:r>
      <w:r w:rsidRPr="003102E7">
        <w:rPr>
          <w:rFonts w:ascii="Verdana" w:hAnsi="Verdana"/>
        </w:rPr>
        <w:lastRenderedPageBreak/>
        <w:t>календарных дней, путем внесения Покупателем изменений в условия (Срок аккредитива) открытого аккредитива.</w:t>
      </w:r>
    </w:p>
    <w:p w14:paraId="3026C6EF" w14:textId="77777777" w:rsidR="00F80DFF" w:rsidRPr="00C9722C" w:rsidRDefault="00F80DFF" w:rsidP="00F80DFF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C9722C">
        <w:rPr>
          <w:rFonts w:ascii="Verdana" w:hAnsi="Verdana"/>
        </w:rPr>
        <w:t>«Покупатель обязуется не менее чем за 3 (Три) рабочих дня до истечения срока действия аккредитива:</w:t>
      </w:r>
    </w:p>
    <w:p w14:paraId="5AAA893A" w14:textId="77777777" w:rsidR="00F80DFF" w:rsidRPr="00C9722C" w:rsidRDefault="00F80DFF" w:rsidP="00F80DFF">
      <w:pPr>
        <w:pStyle w:val="a5"/>
        <w:adjustRightInd w:val="0"/>
        <w:ind w:left="709"/>
        <w:jc w:val="both"/>
        <w:rPr>
          <w:rFonts w:ascii="Verdana" w:hAnsi="Verdana"/>
        </w:rPr>
      </w:pPr>
      <w:r w:rsidRPr="00C9722C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B5F5E12" w14:textId="77777777" w:rsidR="00F80DFF" w:rsidRPr="00C9722C" w:rsidRDefault="00F80DFF" w:rsidP="00F80DFF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74A8B6DF" w14:textId="77777777" w:rsidR="00F80DFF" w:rsidRPr="00C9722C" w:rsidRDefault="00F80DFF" w:rsidP="00F80DFF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C9722C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077C7D28" w14:textId="77777777" w:rsidR="00F80DFF" w:rsidRPr="00C9722C" w:rsidRDefault="00F80DFF" w:rsidP="00F80DF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DA09A0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</w:p>
    <w:p w14:paraId="40B00B67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B244D0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ПРОДАВЦА:</w:t>
      </w:r>
    </w:p>
    <w:p w14:paraId="1E06A39A" w14:textId="77777777" w:rsidR="00F80DFF" w:rsidRPr="00C9722C" w:rsidRDefault="00F80DFF" w:rsidP="00F80D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C9722C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7FBEFBB8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14:paraId="5CCBCB8F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14D27C3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57FB0C26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50E035E" w14:textId="77777777" w:rsidR="00F80DFF" w:rsidRDefault="00F80DFF" w:rsidP="00F80DF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5A406C4" w14:textId="77777777" w:rsidR="00F80DFF" w:rsidRDefault="00F80DFF" w:rsidP="00F80DF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A3403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2AE290D0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88E8C6" w14:textId="77777777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№___</w:t>
      </w:r>
      <w:r w:rsidR="00986EFF" w:rsidRPr="00214013">
        <w:rPr>
          <w:rStyle w:val="af5"/>
          <w:rFonts w:ascii="Verdana" w:hAnsi="Verdana"/>
          <w:sz w:val="20"/>
          <w:szCs w:val="20"/>
        </w:rPr>
        <w:footnoteReference w:id="6"/>
      </w:r>
    </w:p>
    <w:p w14:paraId="1A56C23B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D6624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2285DA6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17E93A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4"/>
      </w:tblGrid>
      <w:tr w:rsidR="001C7A73" w:rsidRPr="00214013" w14:paraId="32F69DAE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245B00B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236E0CA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E5A98B3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A0D369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78DB287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AABC4A8" w14:textId="2445DE5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7AA424B0" w14:textId="4B173508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062074F8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633F97B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BF04F48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E65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58F7D8D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0790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4C0675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64499EB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7759D29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ABC13B5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E5CFD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0E23BF6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3558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C236E1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4C01B46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8E3157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2C4CE28B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9BB588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8FDD61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62C83D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CAB264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F2A4D4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4E3FB1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92511F2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E2E7AA2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2E3A72">
      <w:footerReference w:type="default" r:id="rId8"/>
      <w:pgSz w:w="11906" w:h="16838"/>
      <w:pgMar w:top="1134" w:right="851" w:bottom="142" w:left="1701" w:header="709" w:footer="13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2AB1E0" w16cid:durableId="28063C14"/>
  <w16cid:commentId w16cid:paraId="527DA12C" w16cid:durableId="2807A655"/>
  <w16cid:commentId w16cid:paraId="36B739CD" w16cid:durableId="2807A9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FB7AE" w14:textId="77777777" w:rsidR="00B57C6E" w:rsidRDefault="00B57C6E" w:rsidP="00E33D4F">
      <w:pPr>
        <w:spacing w:after="0" w:line="240" w:lineRule="auto"/>
      </w:pPr>
      <w:r>
        <w:separator/>
      </w:r>
    </w:p>
  </w:endnote>
  <w:endnote w:type="continuationSeparator" w:id="0">
    <w:p w14:paraId="23BFAC87" w14:textId="77777777" w:rsidR="00B57C6E" w:rsidRDefault="00B57C6E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5AD39859" w:rsidR="002E3A72" w:rsidRDefault="002E3A7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519">
          <w:rPr>
            <w:noProof/>
          </w:rPr>
          <w:t>19</w:t>
        </w:r>
        <w:r>
          <w:fldChar w:fldCharType="end"/>
        </w:r>
      </w:p>
    </w:sdtContent>
  </w:sdt>
  <w:p w14:paraId="3937936F" w14:textId="77777777" w:rsidR="002E3A72" w:rsidRDefault="002E3A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E8184" w14:textId="77777777" w:rsidR="00B57C6E" w:rsidRDefault="00B57C6E" w:rsidP="00E33D4F">
      <w:pPr>
        <w:spacing w:after="0" w:line="240" w:lineRule="auto"/>
      </w:pPr>
      <w:r>
        <w:separator/>
      </w:r>
    </w:p>
  </w:footnote>
  <w:footnote w:type="continuationSeparator" w:id="0">
    <w:p w14:paraId="73D85AA0" w14:textId="77777777" w:rsidR="00B57C6E" w:rsidRDefault="00B57C6E" w:rsidP="00E33D4F">
      <w:pPr>
        <w:spacing w:after="0" w:line="240" w:lineRule="auto"/>
      </w:pPr>
      <w:r>
        <w:continuationSeparator/>
      </w:r>
    </w:p>
  </w:footnote>
  <w:footnote w:id="1">
    <w:p w14:paraId="223701D1" w14:textId="77777777" w:rsidR="002E3A72" w:rsidRPr="00010D96" w:rsidRDefault="002E3A72" w:rsidP="002F56AC">
      <w:pPr>
        <w:pStyle w:val="af3"/>
      </w:pPr>
      <w:r w:rsidRPr="00010D96">
        <w:rPr>
          <w:rStyle w:val="af5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14:paraId="334D6540" w14:textId="77777777" w:rsidR="002E3A72" w:rsidRPr="00010D96" w:rsidRDefault="002E3A72" w:rsidP="000C2791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B32162D" w14:textId="77777777" w:rsidR="002E3A72" w:rsidRPr="00010D96" w:rsidRDefault="002E3A72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6C2CC5E2" w14:textId="07BD5DD9" w:rsidR="002E3A72" w:rsidRPr="00010D96" w:rsidRDefault="002E3A72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14:paraId="50A449F8" w14:textId="7BE09967" w:rsidR="00F80DFF" w:rsidRPr="00C9722C" w:rsidRDefault="00F80DFF" w:rsidP="00F80DFF">
      <w:pPr>
        <w:pStyle w:val="af3"/>
      </w:pPr>
      <w:r w:rsidRPr="00C9722C">
        <w:rPr>
          <w:rStyle w:val="af5"/>
        </w:rPr>
        <w:footnoteRef/>
      </w:r>
      <w:r w:rsidRPr="00C9722C">
        <w:t xml:space="preserve"> </w:t>
      </w:r>
      <w:r w:rsidRPr="00C9722C">
        <w:rPr>
          <w:rFonts w:ascii="Verdana" w:hAnsi="Verdana"/>
          <w:sz w:val="16"/>
          <w:szCs w:val="16"/>
        </w:rPr>
        <w:t xml:space="preserve">Размер указывается из расчета: цена недвижимого имущества (п. 2.1. Договора) </w:t>
      </w:r>
      <w:r w:rsidR="00865C97" w:rsidRPr="00C9722C">
        <w:rPr>
          <w:rFonts w:ascii="Verdana" w:hAnsi="Verdana"/>
          <w:sz w:val="16"/>
          <w:szCs w:val="16"/>
        </w:rPr>
        <w:t>и,</w:t>
      </w:r>
      <w:r w:rsidRPr="00C9722C">
        <w:rPr>
          <w:rFonts w:ascii="Verdana" w:hAnsi="Verdana"/>
          <w:sz w:val="16"/>
          <w:szCs w:val="16"/>
        </w:rPr>
        <w:t xml:space="preserve"> если применимо, минус часть цены недвижимого имущества (п. 2.2.1. (А) Договора), </w:t>
      </w:r>
    </w:p>
  </w:footnote>
  <w:footnote w:id="5">
    <w:p w14:paraId="49B694D9" w14:textId="096CF2FD" w:rsidR="00F80DFF" w:rsidRPr="00C9722C" w:rsidRDefault="00F80DFF" w:rsidP="00B636F7">
      <w:pPr>
        <w:pStyle w:val="af3"/>
      </w:pPr>
      <w:r w:rsidRPr="00C9722C">
        <w:rPr>
          <w:rStyle w:val="af5"/>
        </w:rPr>
        <w:footnoteRef/>
      </w:r>
      <w:r w:rsidRPr="00C9722C">
        <w:t xml:space="preserve"> </w:t>
      </w:r>
      <w:r w:rsidR="00B636F7" w:rsidRPr="00B636F7">
        <w:rPr>
          <w:rFonts w:ascii="Verdana" w:hAnsi="Verdana"/>
          <w:sz w:val="16"/>
          <w:szCs w:val="16"/>
        </w:rPr>
        <w:t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 НКР», BBB|ru| от ООО «НРА».</w:t>
      </w:r>
    </w:p>
  </w:footnote>
  <w:footnote w:id="6">
    <w:p w14:paraId="477AB402" w14:textId="420854B8" w:rsidR="002E3A72" w:rsidRPr="00010D96" w:rsidRDefault="002E3A72" w:rsidP="00961A70">
      <w:pPr>
        <w:pStyle w:val="af3"/>
        <w:jc w:val="both"/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4.3, </w:t>
      </w:r>
      <w:r w:rsidRPr="00010D96">
        <w:rPr>
          <w:rFonts w:ascii="Verdana" w:hAnsi="Verdana"/>
          <w:i/>
          <w:color w:val="FF0000"/>
          <w:sz w:val="16"/>
          <w:szCs w:val="16"/>
        </w:rPr>
        <w:t>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Договора.</w:t>
      </w:r>
    </w:p>
  </w:footnote>
  <w:footnote w:id="7">
    <w:p w14:paraId="49588B64" w14:textId="77777777" w:rsidR="002E3A72" w:rsidRPr="00737CC6" w:rsidRDefault="002E3A72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FC62891"/>
    <w:multiLevelType w:val="hybridMultilevel"/>
    <w:tmpl w:val="48C2C27A"/>
    <w:lvl w:ilvl="0" w:tplc="17E05C8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0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1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2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7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0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2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3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2"/>
  </w:num>
  <w:num w:numId="3">
    <w:abstractNumId w:val="26"/>
  </w:num>
  <w:num w:numId="4">
    <w:abstractNumId w:val="25"/>
  </w:num>
  <w:num w:numId="5">
    <w:abstractNumId w:val="22"/>
  </w:num>
  <w:num w:numId="6">
    <w:abstractNumId w:val="14"/>
  </w:num>
  <w:num w:numId="7">
    <w:abstractNumId w:val="2"/>
  </w:num>
  <w:num w:numId="8">
    <w:abstractNumId w:val="3"/>
  </w:num>
  <w:num w:numId="9">
    <w:abstractNumId w:val="30"/>
  </w:num>
  <w:num w:numId="10">
    <w:abstractNumId w:val="3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1"/>
  </w:num>
  <w:num w:numId="12">
    <w:abstractNumId w:val="8"/>
  </w:num>
  <w:num w:numId="13">
    <w:abstractNumId w:val="20"/>
  </w:num>
  <w:num w:numId="14">
    <w:abstractNumId w:val="4"/>
  </w:num>
  <w:num w:numId="15">
    <w:abstractNumId w:val="0"/>
  </w:num>
  <w:num w:numId="16">
    <w:abstractNumId w:val="12"/>
  </w:num>
  <w:num w:numId="17">
    <w:abstractNumId w:val="27"/>
  </w:num>
  <w:num w:numId="18">
    <w:abstractNumId w:val="15"/>
  </w:num>
  <w:num w:numId="19">
    <w:abstractNumId w:val="9"/>
  </w:num>
  <w:num w:numId="20">
    <w:abstractNumId w:val="21"/>
  </w:num>
  <w:num w:numId="21">
    <w:abstractNumId w:val="17"/>
  </w:num>
  <w:num w:numId="22">
    <w:abstractNumId w:val="18"/>
  </w:num>
  <w:num w:numId="23">
    <w:abstractNumId w:val="11"/>
  </w:num>
  <w:num w:numId="24">
    <w:abstractNumId w:val="19"/>
  </w:num>
  <w:num w:numId="25">
    <w:abstractNumId w:val="5"/>
  </w:num>
  <w:num w:numId="26">
    <w:abstractNumId w:val="29"/>
  </w:num>
  <w:num w:numId="27">
    <w:abstractNumId w:val="24"/>
  </w:num>
  <w:num w:numId="28">
    <w:abstractNumId w:val="10"/>
  </w:num>
  <w:num w:numId="29">
    <w:abstractNumId w:val="33"/>
  </w:num>
  <w:num w:numId="30">
    <w:abstractNumId w:val="28"/>
  </w:num>
  <w:num w:numId="31">
    <w:abstractNumId w:val="23"/>
  </w:num>
  <w:num w:numId="32">
    <w:abstractNumId w:val="1"/>
  </w:num>
  <w:num w:numId="33">
    <w:abstractNumId w:val="6"/>
  </w:num>
  <w:num w:numId="34">
    <w:abstractNumId w:val="1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3433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35F8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0D0F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B09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A7484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50EC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577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3A72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8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235"/>
    <w:rsid w:val="004305AA"/>
    <w:rsid w:val="00433A68"/>
    <w:rsid w:val="00433CBA"/>
    <w:rsid w:val="00434BCC"/>
    <w:rsid w:val="00434C82"/>
    <w:rsid w:val="00434F4B"/>
    <w:rsid w:val="00435063"/>
    <w:rsid w:val="004409BC"/>
    <w:rsid w:val="00440C2E"/>
    <w:rsid w:val="00441341"/>
    <w:rsid w:val="00441C95"/>
    <w:rsid w:val="00443AD0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5948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3AB0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8E7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57C8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08F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17EE3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1F06"/>
    <w:rsid w:val="00862047"/>
    <w:rsid w:val="00863EBF"/>
    <w:rsid w:val="0086481B"/>
    <w:rsid w:val="00865125"/>
    <w:rsid w:val="00865C97"/>
    <w:rsid w:val="00866E8B"/>
    <w:rsid w:val="00870461"/>
    <w:rsid w:val="00870CE8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4D0E"/>
    <w:rsid w:val="008A6980"/>
    <w:rsid w:val="008A797C"/>
    <w:rsid w:val="008B5519"/>
    <w:rsid w:val="008B55A8"/>
    <w:rsid w:val="008B5721"/>
    <w:rsid w:val="008B6CF0"/>
    <w:rsid w:val="008B73E6"/>
    <w:rsid w:val="008C12D8"/>
    <w:rsid w:val="008C397C"/>
    <w:rsid w:val="008C3A91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0F74"/>
    <w:rsid w:val="009B145F"/>
    <w:rsid w:val="009B1E70"/>
    <w:rsid w:val="009B2D5E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B1A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52B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0E62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57C6E"/>
    <w:rsid w:val="00B60365"/>
    <w:rsid w:val="00B62159"/>
    <w:rsid w:val="00B62985"/>
    <w:rsid w:val="00B62D18"/>
    <w:rsid w:val="00B62D83"/>
    <w:rsid w:val="00B636F7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75A01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5CEA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165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DFF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rsid w:val="00F80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8A4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49E7-A18D-4EC2-85EC-F30D0D54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8114</Words>
  <Characters>46252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Акчурина Роза Маратовна (Траст)</cp:lastModifiedBy>
  <cp:revision>8</cp:revision>
  <cp:lastPrinted>2023-06-01T09:09:00Z</cp:lastPrinted>
  <dcterms:created xsi:type="dcterms:W3CDTF">2023-06-14T16:03:00Z</dcterms:created>
  <dcterms:modified xsi:type="dcterms:W3CDTF">2023-06-14T17:16:00Z</dcterms:modified>
</cp:coreProperties>
</file>